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383A" w14:textId="77777777" w:rsidR="00610A7F" w:rsidRDefault="00A6766C">
      <w:r>
        <w:rPr>
          <w:rFonts w:ascii="Arial" w:hAnsi="Arial" w:cs="Arial"/>
          <w:noProof/>
          <w:lang w:eastAsia="sl-SI"/>
        </w:rPr>
        <w:drawing>
          <wp:anchor distT="0" distB="0" distL="114300" distR="114300" simplePos="0" relativeHeight="251658240" behindDoc="0" locked="0" layoutInCell="1" allowOverlap="1" wp14:anchorId="591A4C96" wp14:editId="60F8F7AC">
            <wp:simplePos x="0" y="0"/>
            <wp:positionH relativeFrom="column">
              <wp:posOffset>-160020</wp:posOffset>
            </wp:positionH>
            <wp:positionV relativeFrom="paragraph">
              <wp:posOffset>-205105</wp:posOffset>
            </wp:positionV>
            <wp:extent cx="3696970" cy="9429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9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81662" w14:textId="77777777" w:rsidR="00A6766C" w:rsidRDefault="00A6766C"/>
    <w:p w14:paraId="043F9DA0" w14:textId="77777777" w:rsidR="00A6766C" w:rsidRDefault="00A6766C"/>
    <w:p w14:paraId="178EA585" w14:textId="77777777" w:rsidR="00A6766C" w:rsidRDefault="00A6766C" w:rsidP="00A6766C">
      <w:pPr>
        <w:spacing w:after="0" w:line="240" w:lineRule="auto"/>
        <w:rPr>
          <w:rFonts w:cstheme="minorHAnsi"/>
          <w:b/>
          <w:bCs/>
          <w:color w:val="000000"/>
          <w:bdr w:val="none" w:sz="0" w:space="0" w:color="auto" w:frame="1"/>
        </w:rPr>
      </w:pPr>
    </w:p>
    <w:p w14:paraId="5670A11A" w14:textId="77777777" w:rsidR="002D53A9" w:rsidRDefault="002D53A9" w:rsidP="00A6766C">
      <w:pPr>
        <w:spacing w:after="0" w:line="240" w:lineRule="auto"/>
        <w:rPr>
          <w:rFonts w:cstheme="minorHAnsi"/>
          <w:b/>
          <w:bCs/>
          <w:color w:val="000000"/>
          <w:bdr w:val="none" w:sz="0" w:space="0" w:color="auto" w:frame="1"/>
        </w:rPr>
      </w:pPr>
    </w:p>
    <w:p w14:paraId="39E14EB8" w14:textId="77777777" w:rsidR="002D53A9" w:rsidRDefault="002D53A9" w:rsidP="00A6766C">
      <w:pPr>
        <w:spacing w:after="0" w:line="240" w:lineRule="auto"/>
        <w:rPr>
          <w:rFonts w:cstheme="minorHAnsi"/>
          <w:b/>
          <w:bCs/>
          <w:color w:val="000000"/>
          <w:bdr w:val="none" w:sz="0" w:space="0" w:color="auto" w:frame="1"/>
        </w:rPr>
      </w:pPr>
    </w:p>
    <w:p w14:paraId="1395AE61" w14:textId="77777777" w:rsidR="0068626A" w:rsidRDefault="0068626A" w:rsidP="00A6766C">
      <w:pPr>
        <w:spacing w:after="0" w:line="240" w:lineRule="auto"/>
        <w:rPr>
          <w:rFonts w:cstheme="minorHAnsi"/>
          <w:b/>
          <w:bCs/>
          <w:color w:val="000000"/>
          <w:bdr w:val="none" w:sz="0" w:space="0" w:color="auto" w:frame="1"/>
        </w:rPr>
      </w:pPr>
    </w:p>
    <w:p w14:paraId="704F884A" w14:textId="77777777" w:rsidR="0068626A" w:rsidRPr="00DB504E" w:rsidRDefault="0068626A" w:rsidP="0068626A">
      <w:pPr>
        <w:spacing w:after="0" w:line="240" w:lineRule="auto"/>
        <w:jc w:val="center"/>
        <w:rPr>
          <w:rFonts w:cstheme="minorHAnsi"/>
          <w:b/>
          <w:bCs/>
          <w:color w:val="000000"/>
          <w:sz w:val="32"/>
          <w:bdr w:val="none" w:sz="0" w:space="0" w:color="auto" w:frame="1"/>
        </w:rPr>
      </w:pPr>
      <w:r w:rsidRPr="00DB504E">
        <w:rPr>
          <w:rFonts w:cstheme="minorHAnsi"/>
          <w:b/>
          <w:bCs/>
          <w:color w:val="000000"/>
          <w:sz w:val="32"/>
          <w:bdr w:val="none" w:sz="0" w:space="0" w:color="auto" w:frame="1"/>
        </w:rPr>
        <w:t>Metodologija kazalnikov kakovosti predpisovanja zdravil v splošni/družinski medicini</w:t>
      </w:r>
    </w:p>
    <w:p w14:paraId="362C82E8" w14:textId="77777777" w:rsidR="0068626A" w:rsidRDefault="0068626A" w:rsidP="00A6766C">
      <w:pPr>
        <w:spacing w:after="0" w:line="240" w:lineRule="auto"/>
        <w:rPr>
          <w:rFonts w:cstheme="minorHAnsi"/>
          <w:b/>
          <w:bCs/>
          <w:color w:val="000000"/>
          <w:bdr w:val="none" w:sz="0" w:space="0" w:color="auto" w:frame="1"/>
        </w:rPr>
      </w:pPr>
    </w:p>
    <w:p w14:paraId="64A6DA37" w14:textId="77777777" w:rsidR="00DB504E" w:rsidRDefault="00DB504E" w:rsidP="00A6766C">
      <w:pPr>
        <w:spacing w:after="0" w:line="240" w:lineRule="auto"/>
        <w:rPr>
          <w:rFonts w:cstheme="minorHAnsi"/>
          <w:b/>
          <w:bCs/>
          <w:color w:val="000000"/>
          <w:bdr w:val="none" w:sz="0" w:space="0" w:color="auto" w:frame="1"/>
        </w:rPr>
      </w:pPr>
    </w:p>
    <w:p w14:paraId="182D71F6" w14:textId="77777777" w:rsidR="00DB504E" w:rsidRPr="00DB504E" w:rsidRDefault="00DB504E" w:rsidP="00A6766C">
      <w:pPr>
        <w:spacing w:after="0" w:line="240" w:lineRule="auto"/>
        <w:rPr>
          <w:rFonts w:cstheme="minorHAnsi"/>
          <w:b/>
          <w:bCs/>
          <w:color w:val="000000"/>
          <w:sz w:val="24"/>
          <w:bdr w:val="none" w:sz="0" w:space="0" w:color="auto" w:frame="1"/>
        </w:rPr>
      </w:pPr>
      <w:r w:rsidRPr="007809E9">
        <w:rPr>
          <w:rFonts w:cstheme="minorHAnsi"/>
          <w:b/>
          <w:bCs/>
          <w:color w:val="000000"/>
          <w:sz w:val="28"/>
          <w:bdr w:val="none" w:sz="0" w:space="0" w:color="auto" w:frame="1"/>
        </w:rPr>
        <w:t>1. Uvod</w:t>
      </w:r>
    </w:p>
    <w:p w14:paraId="2279A749" w14:textId="77777777" w:rsidR="0068626A" w:rsidRDefault="0068626A" w:rsidP="00A6766C">
      <w:pPr>
        <w:spacing w:after="0" w:line="240" w:lineRule="auto"/>
        <w:rPr>
          <w:rFonts w:cstheme="minorHAnsi"/>
          <w:b/>
          <w:bCs/>
          <w:color w:val="000000"/>
          <w:bdr w:val="none" w:sz="0" w:space="0" w:color="auto" w:frame="1"/>
        </w:rPr>
      </w:pPr>
    </w:p>
    <w:p w14:paraId="301368D9" w14:textId="77777777" w:rsidR="002D53A9" w:rsidRDefault="0066042A" w:rsidP="0066042A">
      <w:p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 xml:space="preserve">Kazalniki predpisovanja zdravil so izbrani podatki, ki delno osvetljujejo zdravnikovo delo na področju predpisovanja zdravil. Temeljijo na podatkih o izdanih zdravilih na recept. Čeprav so v e-receptu tudi podatki o predpisanih zdravilih, se v vseh kazalnikih upoštevajo le v lekarnah v Sloveniji izdana zdravila. </w:t>
      </w:r>
    </w:p>
    <w:p w14:paraId="73AA11B0" w14:textId="77777777" w:rsidR="002D53A9" w:rsidRDefault="002D53A9" w:rsidP="0066042A">
      <w:pPr>
        <w:spacing w:after="0" w:line="240" w:lineRule="auto"/>
        <w:jc w:val="both"/>
        <w:rPr>
          <w:rFonts w:cstheme="minorHAnsi"/>
          <w:bCs/>
          <w:color w:val="000000"/>
          <w:bdr w:val="none" w:sz="0" w:space="0" w:color="auto" w:frame="1"/>
        </w:rPr>
      </w:pPr>
    </w:p>
    <w:p w14:paraId="5E758A5E" w14:textId="6D754752" w:rsidR="0066042A" w:rsidRPr="0066042A" w:rsidRDefault="0066042A" w:rsidP="0066042A">
      <w:p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Upoštevajo se recepti, ki jih je predpisal zdravnik vsem zavarovanim osebam, tako opredeljenim kot tistim, ki jih je predpisal kot nadomestni zdravnik, v dežurstvih</w:t>
      </w:r>
      <w:proofErr w:type="gramStart"/>
      <w:r w:rsidRPr="0066042A">
        <w:rPr>
          <w:rFonts w:cstheme="minorHAnsi"/>
          <w:bCs/>
          <w:color w:val="000000"/>
          <w:bdr w:val="none" w:sz="0" w:space="0" w:color="auto" w:frame="1"/>
        </w:rPr>
        <w:t>,</w:t>
      </w:r>
      <w:proofErr w:type="gramEnd"/>
      <w:r w:rsidRPr="0066042A">
        <w:rPr>
          <w:rFonts w:cstheme="minorHAnsi"/>
          <w:bCs/>
          <w:color w:val="000000"/>
          <w:bdr w:val="none" w:sz="0" w:space="0" w:color="auto" w:frame="1"/>
        </w:rPr>
        <w:t xml:space="preserve"> itd. </w:t>
      </w:r>
      <w:r w:rsidR="00217D63" w:rsidRPr="00217D63">
        <w:rPr>
          <w:rFonts w:cstheme="minorHAnsi"/>
          <w:bCs/>
          <w:color w:val="000000"/>
          <w:bdr w:val="none" w:sz="0" w:space="0" w:color="auto" w:frame="1"/>
        </w:rPr>
        <w:t xml:space="preserve">V vse analize so zajeti tudi osebni recepti in beli, samoplačniški recepti. Le pri kazalnikih polifarmakoterapije so zavarovani osebi, ki je opredeljena za analiziranega zdravnika, pripisana vsa zdravila, ki jih je ta prejela, ne glede na to, kdo jih je predpisal. </w:t>
      </w:r>
      <w:r w:rsidRPr="0066042A">
        <w:rPr>
          <w:rFonts w:cstheme="minorHAnsi"/>
          <w:bCs/>
          <w:color w:val="000000"/>
          <w:bdr w:val="none" w:sz="0" w:space="0" w:color="auto" w:frame="1"/>
        </w:rPr>
        <w:t>Podatki o receptih se črpajo iz Baze receptov ZZZS, kamor se stekajo vsi podatki o papirnatih in elektronskih receptih. Podatki o zdravniku, izvajalcu in zaposlitvah se črpajo iz baze podatkov o izvajalcih (RIZDDZ – Register izvajalcev zdravstvene dejavnosti in delavcev v zdravstvu)</w:t>
      </w:r>
      <w:r>
        <w:rPr>
          <w:rFonts w:cstheme="minorHAnsi"/>
          <w:bCs/>
          <w:color w:val="000000"/>
          <w:bdr w:val="none" w:sz="0" w:space="0" w:color="auto" w:frame="1"/>
        </w:rPr>
        <w:t xml:space="preserve"> in podatkov o izbirah osebnih zdravnikov</w:t>
      </w:r>
      <w:r w:rsidRPr="0066042A">
        <w:rPr>
          <w:rFonts w:cstheme="minorHAnsi"/>
          <w:bCs/>
          <w:color w:val="000000"/>
          <w:bdr w:val="none" w:sz="0" w:space="0" w:color="auto" w:frame="1"/>
        </w:rPr>
        <w:t xml:space="preserve">. Če ima zdravnik več zaposlitev, se vsi recepti pripišejo osnovni zaposlitvi. Če osnovna zaposlitev ni v klinični praksi, se za analizo upošteva dopolnilna zaposlitev. </w:t>
      </w:r>
    </w:p>
    <w:p w14:paraId="5E4A14AF" w14:textId="77777777" w:rsidR="0066042A" w:rsidRPr="0066042A" w:rsidRDefault="0066042A" w:rsidP="0066042A">
      <w:pPr>
        <w:spacing w:after="0" w:line="240" w:lineRule="auto"/>
        <w:jc w:val="both"/>
        <w:rPr>
          <w:rFonts w:cstheme="minorHAnsi"/>
          <w:bCs/>
          <w:color w:val="000000"/>
          <w:bdr w:val="none" w:sz="0" w:space="0" w:color="auto" w:frame="1"/>
        </w:rPr>
      </w:pPr>
    </w:p>
    <w:p w14:paraId="5B0863ED" w14:textId="77777777" w:rsidR="002D53A9" w:rsidRDefault="0066042A" w:rsidP="0066042A">
      <w:p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 xml:space="preserve">Kazalniki so izračunani na letni ravni, z upoštevanjem zdravil, ki so bila izdana v lekarnah v posameznem letu. </w:t>
      </w:r>
    </w:p>
    <w:p w14:paraId="6BEE5994" w14:textId="77777777" w:rsidR="002D53A9" w:rsidRDefault="002D53A9" w:rsidP="0066042A">
      <w:pPr>
        <w:spacing w:after="0" w:line="240" w:lineRule="auto"/>
        <w:jc w:val="both"/>
        <w:rPr>
          <w:rFonts w:cstheme="minorHAnsi"/>
          <w:bCs/>
          <w:color w:val="000000"/>
          <w:bdr w:val="none" w:sz="0" w:space="0" w:color="auto" w:frame="1"/>
        </w:rPr>
      </w:pPr>
    </w:p>
    <w:p w14:paraId="31EF84D8" w14:textId="77777777" w:rsidR="0066042A" w:rsidRPr="0066042A" w:rsidRDefault="0066042A" w:rsidP="0066042A">
      <w:p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 xml:space="preserve">V analizo so vključeni zdravniki splošne/družinske medicine, ki izpolnjujejo naslednje pogoje: </w:t>
      </w:r>
    </w:p>
    <w:p w14:paraId="4CC81288" w14:textId="77777777" w:rsidR="0066042A" w:rsidRDefault="0066042A" w:rsidP="0066042A">
      <w:pPr>
        <w:pStyle w:val="Odstavekseznama"/>
        <w:numPr>
          <w:ilvl w:val="0"/>
          <w:numId w:val="2"/>
        </w:num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 xml:space="preserve">zdravniki, ki so bili v danem obdobju zaposleni v službi osnovno zdravstvo – dejavnosti 302 001, 302 002, </w:t>
      </w:r>
    </w:p>
    <w:p w14:paraId="327BD0DC" w14:textId="732B4C1E" w:rsidR="0066042A" w:rsidRDefault="0066042A" w:rsidP="0066042A">
      <w:pPr>
        <w:pStyle w:val="Odstavekseznama"/>
        <w:numPr>
          <w:ilvl w:val="0"/>
          <w:numId w:val="2"/>
        </w:num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imajo</w:t>
      </w:r>
      <w:r w:rsidR="008B7291">
        <w:rPr>
          <w:rFonts w:cstheme="minorHAnsi"/>
          <w:bCs/>
          <w:color w:val="000000"/>
          <w:bdr w:val="none" w:sz="0" w:space="0" w:color="auto" w:frame="1"/>
        </w:rPr>
        <w:t xml:space="preserve"> 50 ali več opredeljenih</w:t>
      </w:r>
      <w:r w:rsidR="00217D63">
        <w:rPr>
          <w:rFonts w:cstheme="minorHAnsi"/>
          <w:bCs/>
          <w:color w:val="000000"/>
          <w:bdr w:val="none" w:sz="0" w:space="0" w:color="auto" w:frame="1"/>
        </w:rPr>
        <w:t xml:space="preserve"> oseb</w:t>
      </w:r>
      <w:r>
        <w:rPr>
          <w:rFonts w:cstheme="minorHAnsi"/>
          <w:bCs/>
          <w:color w:val="000000"/>
          <w:bdr w:val="none" w:sz="0" w:space="0" w:color="auto" w:frame="1"/>
        </w:rPr>
        <w:t>,</w:t>
      </w:r>
    </w:p>
    <w:p w14:paraId="53085F83" w14:textId="77777777" w:rsidR="0066042A" w:rsidRPr="0066042A" w:rsidRDefault="0066042A" w:rsidP="0066042A">
      <w:pPr>
        <w:pStyle w:val="Odstavekseznama"/>
        <w:numPr>
          <w:ilvl w:val="0"/>
          <w:numId w:val="2"/>
        </w:num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so predpisali (oz. je bilo v lekarnah izdanih) 50 in več receptov.</w:t>
      </w:r>
    </w:p>
    <w:p w14:paraId="03450B65" w14:textId="77777777" w:rsidR="0066042A" w:rsidRPr="0066042A" w:rsidRDefault="0066042A" w:rsidP="0066042A">
      <w:pPr>
        <w:spacing w:after="0" w:line="240" w:lineRule="auto"/>
        <w:jc w:val="both"/>
        <w:rPr>
          <w:rFonts w:cstheme="minorHAnsi"/>
          <w:bCs/>
          <w:color w:val="000000"/>
          <w:bdr w:val="none" w:sz="0" w:space="0" w:color="auto" w:frame="1"/>
        </w:rPr>
      </w:pPr>
    </w:p>
    <w:p w14:paraId="64886DD2" w14:textId="77777777" w:rsidR="002D53A9" w:rsidRDefault="0066042A" w:rsidP="001562ED">
      <w:pPr>
        <w:spacing w:after="0" w:line="240" w:lineRule="auto"/>
        <w:jc w:val="both"/>
        <w:rPr>
          <w:rFonts w:cstheme="minorHAnsi"/>
          <w:bCs/>
          <w:color w:val="000000"/>
          <w:bdr w:val="none" w:sz="0" w:space="0" w:color="auto" w:frame="1"/>
        </w:rPr>
      </w:pPr>
      <w:r w:rsidRPr="0066042A">
        <w:rPr>
          <w:rFonts w:cstheme="minorHAnsi"/>
          <w:bCs/>
          <w:color w:val="000000"/>
          <w:bdr w:val="none" w:sz="0" w:space="0" w:color="auto" w:frame="1"/>
        </w:rPr>
        <w:t>Kazalniki so prikazani po letih</w:t>
      </w:r>
      <w:r>
        <w:rPr>
          <w:rFonts w:cstheme="minorHAnsi"/>
          <w:bCs/>
          <w:color w:val="000000"/>
          <w:bdr w:val="none" w:sz="0" w:space="0" w:color="auto" w:frame="1"/>
        </w:rPr>
        <w:t xml:space="preserve"> za zadnjih 5 let</w:t>
      </w:r>
      <w:r w:rsidRPr="0066042A">
        <w:rPr>
          <w:rFonts w:cstheme="minorHAnsi"/>
          <w:bCs/>
          <w:color w:val="000000"/>
          <w:bdr w:val="none" w:sz="0" w:space="0" w:color="auto" w:frame="1"/>
        </w:rPr>
        <w:t>. Za vsa leta velja enotna metodologija, zato so podatki za eneg</w:t>
      </w:r>
      <w:bookmarkStart w:id="0" w:name="_GoBack"/>
      <w:bookmarkEnd w:id="0"/>
      <w:r w:rsidRPr="0066042A">
        <w:rPr>
          <w:rFonts w:cstheme="minorHAnsi"/>
          <w:bCs/>
          <w:color w:val="000000"/>
          <w:bdr w:val="none" w:sz="0" w:space="0" w:color="auto" w:frame="1"/>
        </w:rPr>
        <w:t>a zdravnika med leti primerljivi oziroma odražajo spremembe v zdravnikovem delu</w:t>
      </w:r>
      <w:r w:rsidR="00240DDA">
        <w:rPr>
          <w:rFonts w:cstheme="minorHAnsi"/>
          <w:bCs/>
          <w:color w:val="000000"/>
          <w:bdr w:val="none" w:sz="0" w:space="0" w:color="auto" w:frame="1"/>
        </w:rPr>
        <w:t xml:space="preserve"> in v populaciji, ki ji zdravnik predpisuje recepte</w:t>
      </w:r>
      <w:r w:rsidRPr="0066042A">
        <w:rPr>
          <w:rFonts w:cstheme="minorHAnsi"/>
          <w:bCs/>
          <w:color w:val="000000"/>
          <w:bdr w:val="none" w:sz="0" w:space="0" w:color="auto" w:frame="1"/>
        </w:rPr>
        <w:t>.</w:t>
      </w:r>
      <w:r w:rsidR="002D53A9">
        <w:rPr>
          <w:rFonts w:cstheme="minorHAnsi"/>
          <w:bCs/>
          <w:color w:val="000000"/>
          <w:bdr w:val="none" w:sz="0" w:space="0" w:color="auto" w:frame="1"/>
        </w:rPr>
        <w:t xml:space="preserve"> </w:t>
      </w:r>
    </w:p>
    <w:p w14:paraId="60E9EF9F" w14:textId="77777777" w:rsidR="002D53A9" w:rsidRDefault="002D53A9" w:rsidP="001562ED">
      <w:pPr>
        <w:spacing w:after="0" w:line="240" w:lineRule="auto"/>
        <w:jc w:val="both"/>
        <w:rPr>
          <w:rFonts w:cstheme="minorHAnsi"/>
          <w:bCs/>
          <w:color w:val="000000"/>
          <w:bdr w:val="none" w:sz="0" w:space="0" w:color="auto" w:frame="1"/>
        </w:rPr>
      </w:pPr>
    </w:p>
    <w:p w14:paraId="099A9AE7" w14:textId="77777777" w:rsidR="00240DDA" w:rsidRDefault="00240DDA" w:rsidP="00240DDA">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Le en kazalnik (KK1) je standardiziran glede na starostno in spolno strukturo zdravnikove populacije. </w:t>
      </w:r>
    </w:p>
    <w:p w14:paraId="0B35583A" w14:textId="77777777" w:rsidR="00240DDA" w:rsidRDefault="00240DDA" w:rsidP="001562ED">
      <w:pPr>
        <w:spacing w:after="0" w:line="240" w:lineRule="auto"/>
        <w:jc w:val="both"/>
        <w:rPr>
          <w:rFonts w:cstheme="minorHAnsi"/>
          <w:bCs/>
          <w:color w:val="000000"/>
          <w:bdr w:val="none" w:sz="0" w:space="0" w:color="auto" w:frame="1"/>
        </w:rPr>
      </w:pPr>
    </w:p>
    <w:p w14:paraId="1886676A" w14:textId="652172B4" w:rsidR="00DB504E" w:rsidRDefault="00DE5138" w:rsidP="00A817CC">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Pri </w:t>
      </w:r>
      <w:r w:rsidR="00240DDA">
        <w:rPr>
          <w:rFonts w:cstheme="minorHAnsi"/>
          <w:bCs/>
          <w:color w:val="000000"/>
          <w:bdr w:val="none" w:sz="0" w:space="0" w:color="auto" w:frame="1"/>
        </w:rPr>
        <w:t xml:space="preserve">ostalih </w:t>
      </w:r>
      <w:r>
        <w:rPr>
          <w:rFonts w:cstheme="minorHAnsi"/>
          <w:bCs/>
          <w:color w:val="000000"/>
          <w:bdr w:val="none" w:sz="0" w:space="0" w:color="auto" w:frame="1"/>
        </w:rPr>
        <w:t>kazalnikih, kjer je vrednosti zdravnika mogoče primerjati s slovenskim povprečjem,</w:t>
      </w:r>
      <w:r w:rsidR="001562ED">
        <w:rPr>
          <w:rFonts w:cstheme="minorHAnsi"/>
          <w:bCs/>
          <w:color w:val="000000"/>
          <w:bdr w:val="none" w:sz="0" w:space="0" w:color="auto" w:frame="1"/>
        </w:rPr>
        <w:t xml:space="preserve"> </w:t>
      </w:r>
      <w:proofErr w:type="gramStart"/>
      <w:r w:rsidR="001562ED">
        <w:rPr>
          <w:rFonts w:cstheme="minorHAnsi"/>
          <w:bCs/>
          <w:color w:val="000000"/>
          <w:bdr w:val="none" w:sz="0" w:space="0" w:color="auto" w:frame="1"/>
        </w:rPr>
        <w:t>so</w:t>
      </w:r>
      <w:proofErr w:type="gramEnd"/>
      <w:r w:rsidR="001562ED">
        <w:rPr>
          <w:rFonts w:cstheme="minorHAnsi"/>
          <w:bCs/>
          <w:color w:val="000000"/>
          <w:bdr w:val="none" w:sz="0" w:space="0" w:color="auto" w:frame="1"/>
        </w:rPr>
        <w:t xml:space="preserve"> </w:t>
      </w:r>
      <w:r w:rsidR="00CF4E9C">
        <w:rPr>
          <w:rFonts w:cstheme="minorHAnsi"/>
          <w:bCs/>
          <w:color w:val="000000"/>
          <w:bdr w:val="none" w:sz="0" w:space="0" w:color="auto" w:frame="1"/>
        </w:rPr>
        <w:t xml:space="preserve">vrstici pod podatki analiziranega zdravnika </w:t>
      </w:r>
      <w:r>
        <w:rPr>
          <w:rFonts w:cstheme="minorHAnsi"/>
          <w:bCs/>
          <w:color w:val="000000"/>
          <w:bdr w:val="none" w:sz="0" w:space="0" w:color="auto" w:frame="1"/>
        </w:rPr>
        <w:t xml:space="preserve">v oklepajih </w:t>
      </w:r>
      <w:r w:rsidR="001562ED">
        <w:rPr>
          <w:rFonts w:cstheme="minorHAnsi"/>
          <w:bCs/>
          <w:color w:val="000000"/>
          <w:bdr w:val="none" w:sz="0" w:space="0" w:color="auto" w:frame="1"/>
        </w:rPr>
        <w:t>prikazane povprečne vrednosti</w:t>
      </w:r>
      <w:r w:rsidR="00D45665">
        <w:rPr>
          <w:rFonts w:cstheme="minorHAnsi"/>
          <w:bCs/>
          <w:color w:val="000000"/>
          <w:bdr w:val="none" w:sz="0" w:space="0" w:color="auto" w:frame="1"/>
        </w:rPr>
        <w:t>, izračunane iz podatkov vseh vključenih zdravnikov</w:t>
      </w:r>
      <w:r w:rsidR="00DB504E">
        <w:rPr>
          <w:rFonts w:cstheme="minorHAnsi"/>
          <w:bCs/>
          <w:color w:val="000000"/>
          <w:bdr w:val="none" w:sz="0" w:space="0" w:color="auto" w:frame="1"/>
        </w:rPr>
        <w:t xml:space="preserve">. </w:t>
      </w:r>
      <w:r w:rsidR="001562ED">
        <w:rPr>
          <w:rFonts w:cstheme="minorHAnsi"/>
          <w:bCs/>
          <w:color w:val="000000"/>
          <w:bdr w:val="none" w:sz="0" w:space="0" w:color="auto" w:frame="1"/>
        </w:rPr>
        <w:t>Če je vrednost kazalnika 20</w:t>
      </w:r>
      <w:proofErr w:type="gramStart"/>
      <w:r w:rsidR="00D75A2E">
        <w:rPr>
          <w:rFonts w:cstheme="minorHAnsi"/>
          <w:bCs/>
          <w:color w:val="000000"/>
          <w:bdr w:val="none" w:sz="0" w:space="0" w:color="auto" w:frame="1"/>
        </w:rPr>
        <w:t xml:space="preserve"> </w:t>
      </w:r>
      <w:r w:rsidR="001562ED">
        <w:rPr>
          <w:rFonts w:cstheme="minorHAnsi"/>
          <w:bCs/>
          <w:color w:val="000000"/>
          <w:bdr w:val="none" w:sz="0" w:space="0" w:color="auto" w:frame="1"/>
        </w:rPr>
        <w:t>%</w:t>
      </w:r>
      <w:proofErr w:type="gramEnd"/>
      <w:r w:rsidR="001562ED">
        <w:rPr>
          <w:rFonts w:cstheme="minorHAnsi"/>
          <w:bCs/>
          <w:color w:val="000000"/>
          <w:bdr w:val="none" w:sz="0" w:space="0" w:color="auto" w:frame="1"/>
        </w:rPr>
        <w:t xml:space="preserve"> slabša od </w:t>
      </w:r>
      <w:r w:rsidR="00D45665">
        <w:rPr>
          <w:rFonts w:cstheme="minorHAnsi"/>
          <w:bCs/>
          <w:color w:val="000000"/>
          <w:bdr w:val="none" w:sz="0" w:space="0" w:color="auto" w:frame="1"/>
        </w:rPr>
        <w:t xml:space="preserve">slovenskega </w:t>
      </w:r>
      <w:r w:rsidR="001562ED">
        <w:rPr>
          <w:rFonts w:cstheme="minorHAnsi"/>
          <w:bCs/>
          <w:color w:val="000000"/>
          <w:bdr w:val="none" w:sz="0" w:space="0" w:color="auto" w:frame="1"/>
        </w:rPr>
        <w:t>povprečja, je obarvana rdeče. Če je vrednost kazalnika 20</w:t>
      </w:r>
      <w:proofErr w:type="gramStart"/>
      <w:r w:rsidR="00D75A2E">
        <w:rPr>
          <w:rFonts w:cstheme="minorHAnsi"/>
          <w:bCs/>
          <w:color w:val="000000"/>
          <w:bdr w:val="none" w:sz="0" w:space="0" w:color="auto" w:frame="1"/>
        </w:rPr>
        <w:t xml:space="preserve"> </w:t>
      </w:r>
      <w:r w:rsidR="001562ED">
        <w:rPr>
          <w:rFonts w:cstheme="minorHAnsi"/>
          <w:bCs/>
          <w:color w:val="000000"/>
          <w:bdr w:val="none" w:sz="0" w:space="0" w:color="auto" w:frame="1"/>
        </w:rPr>
        <w:t>%</w:t>
      </w:r>
      <w:proofErr w:type="gramEnd"/>
      <w:r w:rsidR="001562ED">
        <w:rPr>
          <w:rFonts w:cstheme="minorHAnsi"/>
          <w:bCs/>
          <w:color w:val="000000"/>
          <w:bdr w:val="none" w:sz="0" w:space="0" w:color="auto" w:frame="1"/>
        </w:rPr>
        <w:t xml:space="preserve"> boljša, je prikazana v zeleni barvi.</w:t>
      </w:r>
    </w:p>
    <w:p w14:paraId="1127B5BA" w14:textId="7D1D5543" w:rsidR="00217D63" w:rsidRDefault="00217D63" w:rsidP="00A6766C">
      <w:pPr>
        <w:spacing w:after="0" w:line="240" w:lineRule="auto"/>
        <w:rPr>
          <w:rFonts w:cstheme="minorHAnsi"/>
          <w:b/>
          <w:bCs/>
          <w:color w:val="000000"/>
          <w:sz w:val="28"/>
          <w:bdr w:val="none" w:sz="0" w:space="0" w:color="auto" w:frame="1"/>
        </w:rPr>
      </w:pPr>
    </w:p>
    <w:p w14:paraId="773A05C7" w14:textId="09760EF0" w:rsidR="00DB504E" w:rsidRPr="00DB504E" w:rsidRDefault="00DB504E" w:rsidP="00A6766C">
      <w:pPr>
        <w:spacing w:after="0" w:line="240" w:lineRule="auto"/>
        <w:rPr>
          <w:rFonts w:cstheme="minorHAnsi"/>
          <w:b/>
          <w:bCs/>
          <w:color w:val="000000"/>
          <w:bdr w:val="none" w:sz="0" w:space="0" w:color="auto" w:frame="1"/>
        </w:rPr>
      </w:pPr>
      <w:r w:rsidRPr="007809E9">
        <w:rPr>
          <w:rFonts w:cstheme="minorHAnsi"/>
          <w:b/>
          <w:bCs/>
          <w:color w:val="000000"/>
          <w:sz w:val="28"/>
          <w:bdr w:val="none" w:sz="0" w:space="0" w:color="auto" w:frame="1"/>
        </w:rPr>
        <w:lastRenderedPageBreak/>
        <w:t>2. Opis kazalnikov</w:t>
      </w:r>
    </w:p>
    <w:p w14:paraId="07FC8CF2" w14:textId="77777777" w:rsidR="0066042A" w:rsidRDefault="0066042A" w:rsidP="00A6766C">
      <w:pPr>
        <w:spacing w:after="0" w:line="240" w:lineRule="auto"/>
        <w:rPr>
          <w:rFonts w:cstheme="minorHAnsi"/>
          <w:b/>
          <w:bCs/>
          <w:color w:val="000000"/>
          <w:bdr w:val="none" w:sz="0" w:space="0" w:color="auto" w:frame="1"/>
        </w:rPr>
      </w:pPr>
    </w:p>
    <w:p w14:paraId="6DE1ED3D" w14:textId="77777777" w:rsidR="0066042A" w:rsidRDefault="00DB504E" w:rsidP="00A6766C">
      <w:pPr>
        <w:spacing w:after="0" w:line="240" w:lineRule="auto"/>
        <w:rPr>
          <w:rFonts w:cstheme="minorHAnsi"/>
          <w:b/>
          <w:bCs/>
          <w:color w:val="000000"/>
          <w:bdr w:val="none" w:sz="0" w:space="0" w:color="auto" w:frame="1"/>
        </w:rPr>
      </w:pPr>
      <w:r w:rsidRPr="007809E9">
        <w:rPr>
          <w:rFonts w:cstheme="minorHAnsi"/>
          <w:b/>
          <w:bCs/>
          <w:color w:val="000000"/>
          <w:sz w:val="24"/>
          <w:bdr w:val="none" w:sz="0" w:space="0" w:color="auto" w:frame="1"/>
        </w:rPr>
        <w:t xml:space="preserve">2.1. </w:t>
      </w:r>
      <w:r w:rsidR="0066042A" w:rsidRPr="007809E9">
        <w:rPr>
          <w:rFonts w:cstheme="minorHAnsi"/>
          <w:b/>
          <w:bCs/>
          <w:color w:val="000000"/>
          <w:sz w:val="24"/>
          <w:bdr w:val="none" w:sz="0" w:space="0" w:color="auto" w:frame="1"/>
        </w:rPr>
        <w:t>Količina in vrednost predpisanih zdravil</w:t>
      </w:r>
    </w:p>
    <w:p w14:paraId="0F572BFB" w14:textId="77777777" w:rsidR="0066042A" w:rsidRDefault="0066042A" w:rsidP="00A6766C">
      <w:pPr>
        <w:spacing w:after="0" w:line="240" w:lineRule="auto"/>
        <w:rPr>
          <w:rFonts w:cstheme="minorHAnsi"/>
          <w:b/>
          <w:bCs/>
          <w:color w:val="000000"/>
          <w:bdr w:val="none" w:sz="0" w:space="0" w:color="auto" w:frame="1"/>
        </w:rPr>
      </w:pPr>
    </w:p>
    <w:p w14:paraId="1E3F088A" w14:textId="77777777" w:rsidR="00DB504E" w:rsidRPr="00DB504E" w:rsidRDefault="00DB504E" w:rsidP="00A6766C">
      <w:pPr>
        <w:spacing w:after="0" w:line="240" w:lineRule="auto"/>
        <w:rPr>
          <w:rFonts w:cstheme="minorHAnsi"/>
          <w:bCs/>
          <w:color w:val="000000"/>
          <w:u w:val="single"/>
          <w:bdr w:val="none" w:sz="0" w:space="0" w:color="auto" w:frame="1"/>
        </w:rPr>
      </w:pPr>
      <w:r w:rsidRPr="00DB504E">
        <w:rPr>
          <w:rFonts w:ascii="Calibri" w:hAnsi="Calibri" w:cs="Calibri"/>
          <w:color w:val="000000"/>
          <w:u w:val="single"/>
        </w:rPr>
        <w:t>KK1 – poraba zdravil na standardiziranega prejemnika</w:t>
      </w:r>
    </w:p>
    <w:p w14:paraId="73374D21" w14:textId="138ED9F4" w:rsidR="00DB504E" w:rsidRPr="00DB504E" w:rsidRDefault="00DB504E" w:rsidP="002D53A9">
      <w:pPr>
        <w:spacing w:after="0" w:line="240" w:lineRule="auto"/>
        <w:jc w:val="both"/>
        <w:rPr>
          <w:rFonts w:cstheme="minorHAnsi"/>
          <w:bCs/>
          <w:color w:val="000000"/>
          <w:bdr w:val="none" w:sz="0" w:space="0" w:color="auto" w:frame="1"/>
        </w:rPr>
      </w:pPr>
      <w:r w:rsidRPr="00DB504E">
        <w:rPr>
          <w:rFonts w:cstheme="minorHAnsi"/>
          <w:bCs/>
          <w:color w:val="000000"/>
          <w:bdr w:val="none" w:sz="0" w:space="0" w:color="auto" w:frame="1"/>
        </w:rPr>
        <w:t xml:space="preserve">Podatek je izražen v </w:t>
      </w:r>
      <w:r w:rsidR="002D53A9">
        <w:rPr>
          <w:rFonts w:cstheme="minorHAnsi"/>
          <w:bCs/>
          <w:color w:val="000000"/>
          <w:bdr w:val="none" w:sz="0" w:space="0" w:color="auto" w:frame="1"/>
        </w:rPr>
        <w:t xml:space="preserve">definiranem </w:t>
      </w:r>
      <w:r w:rsidR="00114C10">
        <w:rPr>
          <w:rFonts w:cstheme="minorHAnsi"/>
          <w:bCs/>
          <w:color w:val="000000"/>
          <w:bdr w:val="none" w:sz="0" w:space="0" w:color="auto" w:frame="1"/>
        </w:rPr>
        <w:t xml:space="preserve">dnevnem </w:t>
      </w:r>
      <w:r w:rsidR="002D53A9">
        <w:rPr>
          <w:rFonts w:cstheme="minorHAnsi"/>
          <w:bCs/>
          <w:color w:val="000000"/>
          <w:bdr w:val="none" w:sz="0" w:space="0" w:color="auto" w:frame="1"/>
        </w:rPr>
        <w:t>odmerku (</w:t>
      </w:r>
      <w:r w:rsidRPr="00DB504E">
        <w:rPr>
          <w:rFonts w:cstheme="minorHAnsi"/>
          <w:bCs/>
          <w:color w:val="000000"/>
          <w:bdr w:val="none" w:sz="0" w:space="0" w:color="auto" w:frame="1"/>
        </w:rPr>
        <w:t>DDD</w:t>
      </w:r>
      <w:r w:rsidR="002D53A9">
        <w:rPr>
          <w:rFonts w:cstheme="minorHAnsi"/>
          <w:bCs/>
          <w:color w:val="000000"/>
          <w:bdr w:val="none" w:sz="0" w:space="0" w:color="auto" w:frame="1"/>
        </w:rPr>
        <w:t>)</w:t>
      </w:r>
      <w:r w:rsidRPr="00DB504E">
        <w:rPr>
          <w:rFonts w:cstheme="minorHAnsi"/>
          <w:bCs/>
          <w:color w:val="000000"/>
          <w:bdr w:val="none" w:sz="0" w:space="0" w:color="auto" w:frame="1"/>
        </w:rPr>
        <w:t xml:space="preserve">. </w:t>
      </w:r>
      <w:r w:rsidR="00114C10">
        <w:rPr>
          <w:rFonts w:cstheme="minorHAnsi"/>
          <w:bCs/>
          <w:color w:val="000000"/>
          <w:bdr w:val="none" w:sz="0" w:space="0" w:color="auto" w:frame="1"/>
        </w:rPr>
        <w:t xml:space="preserve">Upoštevajo se vsi recepti, ki jih je predpisal obravnavani zdravnik. </w:t>
      </w:r>
      <w:r w:rsidRPr="00DB504E">
        <w:rPr>
          <w:rFonts w:cstheme="minorHAnsi"/>
          <w:bCs/>
          <w:color w:val="000000"/>
          <w:bdr w:val="none" w:sz="0" w:space="0" w:color="auto" w:frame="1"/>
        </w:rPr>
        <w:t xml:space="preserve">Pri določitvi </w:t>
      </w:r>
      <w:r w:rsidR="00114C10">
        <w:rPr>
          <w:rFonts w:cstheme="minorHAnsi"/>
          <w:bCs/>
          <w:color w:val="000000"/>
          <w:bdr w:val="none" w:sz="0" w:space="0" w:color="auto" w:frame="1"/>
        </w:rPr>
        <w:t xml:space="preserve">standardizirane </w:t>
      </w:r>
      <w:r w:rsidRPr="00DB504E">
        <w:rPr>
          <w:rFonts w:cstheme="minorHAnsi"/>
          <w:bCs/>
          <w:color w:val="000000"/>
          <w:bdr w:val="none" w:sz="0" w:space="0" w:color="auto" w:frame="1"/>
        </w:rPr>
        <w:t xml:space="preserve">populacije prejemnikov </w:t>
      </w:r>
      <w:r w:rsidR="00D110E3">
        <w:rPr>
          <w:rFonts w:cstheme="minorHAnsi"/>
          <w:bCs/>
          <w:color w:val="000000"/>
          <w:bdr w:val="none" w:sz="0" w:space="0" w:color="auto" w:frame="1"/>
        </w:rPr>
        <w:t xml:space="preserve">receptov </w:t>
      </w:r>
      <w:r w:rsidRPr="00DB504E">
        <w:rPr>
          <w:rFonts w:cstheme="minorHAnsi"/>
          <w:bCs/>
          <w:color w:val="000000"/>
          <w:bdr w:val="none" w:sz="0" w:space="0" w:color="auto" w:frame="1"/>
        </w:rPr>
        <w:t>sta upoštevana spol in starostna struktura prejemnikov.</w:t>
      </w:r>
      <w:r w:rsidR="00A817CC">
        <w:rPr>
          <w:rFonts w:cstheme="minorHAnsi"/>
          <w:bCs/>
          <w:color w:val="000000"/>
          <w:bdr w:val="none" w:sz="0" w:space="0" w:color="auto" w:frame="1"/>
        </w:rPr>
        <w:t xml:space="preserve"> Uporabljajo se naslednji količniki (</w:t>
      </w:r>
      <w:proofErr w:type="gramStart"/>
      <w:r w:rsidR="00A817CC">
        <w:rPr>
          <w:rFonts w:cstheme="minorHAnsi"/>
          <w:bCs/>
          <w:color w:val="000000"/>
          <w:bdr w:val="none" w:sz="0" w:space="0" w:color="auto" w:frame="1"/>
        </w:rPr>
        <w:t>ponderji</w:t>
      </w:r>
      <w:proofErr w:type="gramEnd"/>
      <w:r w:rsidR="00A817CC">
        <w:rPr>
          <w:rFonts w:cstheme="minorHAnsi"/>
          <w:bCs/>
          <w:color w:val="000000"/>
          <w:bdr w:val="none" w:sz="0" w:space="0" w:color="auto" w:frame="1"/>
        </w:rPr>
        <w:t>):</w:t>
      </w:r>
      <w:r w:rsidR="00ED1D10">
        <w:rPr>
          <w:rFonts w:cstheme="minorHAnsi"/>
          <w:bCs/>
          <w:color w:val="000000"/>
          <w:bdr w:val="none" w:sz="0" w:space="0" w:color="auto" w:frame="1"/>
        </w:rPr>
        <w:t xml:space="preserve"> </w:t>
      </w:r>
    </w:p>
    <w:p w14:paraId="2B96D144" w14:textId="77777777" w:rsidR="002D53A9" w:rsidRPr="00D53A7F" w:rsidRDefault="002D53A9" w:rsidP="00DB504E">
      <w:pPr>
        <w:spacing w:after="0" w:line="240" w:lineRule="auto"/>
        <w:rPr>
          <w:rFonts w:cstheme="minorHAnsi"/>
          <w:bCs/>
          <w:color w:val="000000"/>
          <w:sz w:val="10"/>
          <w:szCs w:val="10"/>
          <w:u w:val="single"/>
          <w:bdr w:val="none" w:sz="0" w:space="0" w:color="auto" w:frame="1"/>
        </w:rPr>
      </w:pPr>
    </w:p>
    <w:tbl>
      <w:tblPr>
        <w:tblW w:w="0" w:type="auto"/>
        <w:tblInd w:w="55" w:type="dxa"/>
        <w:tblCellMar>
          <w:left w:w="70" w:type="dxa"/>
          <w:right w:w="70" w:type="dxa"/>
        </w:tblCellMar>
        <w:tblLook w:val="04A0" w:firstRow="1" w:lastRow="0" w:firstColumn="1" w:lastColumn="0" w:noHBand="0" w:noVBand="1"/>
      </w:tblPr>
      <w:tblGrid>
        <w:gridCol w:w="971"/>
        <w:gridCol w:w="971"/>
        <w:gridCol w:w="1168"/>
      </w:tblGrid>
      <w:tr w:rsidR="00A817CC" w:rsidRPr="00A817CC" w14:paraId="13B4433C" w14:textId="77777777" w:rsidTr="00A817CC">
        <w:trPr>
          <w:trHeight w:val="1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F54B"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Starost od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5D250C"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Starost do</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6631F4B"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Količnik</w:t>
            </w:r>
          </w:p>
        </w:tc>
      </w:tr>
      <w:tr w:rsidR="00A817CC" w:rsidRPr="00A817CC" w14:paraId="3EF01D1E" w14:textId="77777777" w:rsidTr="00A817CC">
        <w:trPr>
          <w:trHeight w:val="1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4171D"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0</w:t>
            </w:r>
          </w:p>
        </w:tc>
        <w:tc>
          <w:tcPr>
            <w:tcW w:w="0" w:type="auto"/>
            <w:tcBorders>
              <w:top w:val="nil"/>
              <w:left w:val="nil"/>
              <w:bottom w:val="single" w:sz="4" w:space="0" w:color="auto"/>
              <w:right w:val="single" w:sz="4" w:space="0" w:color="auto"/>
            </w:tcBorders>
            <w:shd w:val="clear" w:color="auto" w:fill="auto"/>
            <w:noWrap/>
            <w:vAlign w:val="bottom"/>
            <w:hideMark/>
          </w:tcPr>
          <w:p w14:paraId="37775D7F"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0</w:t>
            </w:r>
          </w:p>
        </w:tc>
        <w:tc>
          <w:tcPr>
            <w:tcW w:w="1168" w:type="dxa"/>
            <w:tcBorders>
              <w:top w:val="nil"/>
              <w:left w:val="nil"/>
              <w:bottom w:val="single" w:sz="4" w:space="0" w:color="auto"/>
              <w:right w:val="single" w:sz="4" w:space="0" w:color="auto"/>
            </w:tcBorders>
            <w:shd w:val="clear" w:color="auto" w:fill="auto"/>
            <w:noWrap/>
            <w:vAlign w:val="bottom"/>
            <w:hideMark/>
          </w:tcPr>
          <w:p w14:paraId="794AA02F"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3</w:t>
            </w:r>
          </w:p>
        </w:tc>
      </w:tr>
      <w:tr w:rsidR="00A817CC" w:rsidRPr="00A817CC" w14:paraId="7A0AD453" w14:textId="77777777" w:rsidTr="00A817CC">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99CD0F"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1</w:t>
            </w:r>
          </w:p>
        </w:tc>
        <w:tc>
          <w:tcPr>
            <w:tcW w:w="0" w:type="auto"/>
            <w:tcBorders>
              <w:top w:val="nil"/>
              <w:left w:val="nil"/>
              <w:bottom w:val="single" w:sz="4" w:space="0" w:color="auto"/>
              <w:right w:val="single" w:sz="4" w:space="0" w:color="auto"/>
            </w:tcBorders>
            <w:shd w:val="clear" w:color="auto" w:fill="auto"/>
            <w:noWrap/>
            <w:vAlign w:val="bottom"/>
            <w:hideMark/>
          </w:tcPr>
          <w:p w14:paraId="535C8506"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6</w:t>
            </w:r>
          </w:p>
        </w:tc>
        <w:tc>
          <w:tcPr>
            <w:tcW w:w="1168" w:type="dxa"/>
            <w:tcBorders>
              <w:top w:val="nil"/>
              <w:left w:val="nil"/>
              <w:bottom w:val="single" w:sz="4" w:space="0" w:color="auto"/>
              <w:right w:val="single" w:sz="4" w:space="0" w:color="auto"/>
            </w:tcBorders>
            <w:shd w:val="clear" w:color="auto" w:fill="auto"/>
            <w:noWrap/>
            <w:vAlign w:val="bottom"/>
            <w:hideMark/>
          </w:tcPr>
          <w:p w14:paraId="1F682973"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1,9</w:t>
            </w:r>
          </w:p>
        </w:tc>
      </w:tr>
      <w:tr w:rsidR="00A817CC" w:rsidRPr="00A817CC" w14:paraId="54190006" w14:textId="77777777" w:rsidTr="00A817CC">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07329"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7</w:t>
            </w:r>
          </w:p>
        </w:tc>
        <w:tc>
          <w:tcPr>
            <w:tcW w:w="0" w:type="auto"/>
            <w:tcBorders>
              <w:top w:val="nil"/>
              <w:left w:val="nil"/>
              <w:bottom w:val="single" w:sz="4" w:space="0" w:color="auto"/>
              <w:right w:val="single" w:sz="4" w:space="0" w:color="auto"/>
            </w:tcBorders>
            <w:shd w:val="clear" w:color="auto" w:fill="auto"/>
            <w:noWrap/>
            <w:vAlign w:val="bottom"/>
            <w:hideMark/>
          </w:tcPr>
          <w:p w14:paraId="36CE9AE0"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18</w:t>
            </w:r>
          </w:p>
        </w:tc>
        <w:tc>
          <w:tcPr>
            <w:tcW w:w="1168" w:type="dxa"/>
            <w:tcBorders>
              <w:top w:val="nil"/>
              <w:left w:val="nil"/>
              <w:bottom w:val="single" w:sz="4" w:space="0" w:color="auto"/>
              <w:right w:val="single" w:sz="4" w:space="0" w:color="auto"/>
            </w:tcBorders>
            <w:shd w:val="clear" w:color="auto" w:fill="auto"/>
            <w:noWrap/>
            <w:vAlign w:val="bottom"/>
            <w:hideMark/>
          </w:tcPr>
          <w:p w14:paraId="2F1858F2"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0,88</w:t>
            </w:r>
          </w:p>
        </w:tc>
      </w:tr>
      <w:tr w:rsidR="00A817CC" w:rsidRPr="00A817CC" w14:paraId="0EFBBF69" w14:textId="77777777" w:rsidTr="00A817CC">
        <w:trPr>
          <w:trHeight w:val="2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2C44A"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19</w:t>
            </w:r>
          </w:p>
        </w:tc>
        <w:tc>
          <w:tcPr>
            <w:tcW w:w="0" w:type="auto"/>
            <w:tcBorders>
              <w:top w:val="nil"/>
              <w:left w:val="nil"/>
              <w:bottom w:val="single" w:sz="4" w:space="0" w:color="auto"/>
              <w:right w:val="single" w:sz="4" w:space="0" w:color="auto"/>
            </w:tcBorders>
            <w:shd w:val="clear" w:color="auto" w:fill="auto"/>
            <w:noWrap/>
            <w:vAlign w:val="bottom"/>
            <w:hideMark/>
          </w:tcPr>
          <w:p w14:paraId="76D12A1D"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49</w:t>
            </w:r>
          </w:p>
        </w:tc>
        <w:tc>
          <w:tcPr>
            <w:tcW w:w="1168" w:type="dxa"/>
            <w:tcBorders>
              <w:top w:val="nil"/>
              <w:left w:val="nil"/>
              <w:bottom w:val="single" w:sz="4" w:space="0" w:color="auto"/>
              <w:right w:val="single" w:sz="4" w:space="0" w:color="auto"/>
            </w:tcBorders>
            <w:shd w:val="clear" w:color="auto" w:fill="auto"/>
            <w:noWrap/>
            <w:vAlign w:val="bottom"/>
            <w:hideMark/>
          </w:tcPr>
          <w:p w14:paraId="51499591"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0,84</w:t>
            </w:r>
          </w:p>
        </w:tc>
      </w:tr>
      <w:tr w:rsidR="00A817CC" w:rsidRPr="00A817CC" w14:paraId="5F4D880A" w14:textId="77777777" w:rsidTr="00A817CC">
        <w:trPr>
          <w:trHeight w:val="2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AC98D"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50</w:t>
            </w:r>
          </w:p>
        </w:tc>
        <w:tc>
          <w:tcPr>
            <w:tcW w:w="0" w:type="auto"/>
            <w:tcBorders>
              <w:top w:val="nil"/>
              <w:left w:val="nil"/>
              <w:bottom w:val="single" w:sz="4" w:space="0" w:color="auto"/>
              <w:right w:val="single" w:sz="4" w:space="0" w:color="auto"/>
            </w:tcBorders>
            <w:shd w:val="clear" w:color="auto" w:fill="auto"/>
            <w:noWrap/>
            <w:vAlign w:val="bottom"/>
            <w:hideMark/>
          </w:tcPr>
          <w:p w14:paraId="4C431F15"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64</w:t>
            </w:r>
          </w:p>
        </w:tc>
        <w:tc>
          <w:tcPr>
            <w:tcW w:w="1168" w:type="dxa"/>
            <w:tcBorders>
              <w:top w:val="nil"/>
              <w:left w:val="nil"/>
              <w:bottom w:val="single" w:sz="4" w:space="0" w:color="auto"/>
              <w:right w:val="single" w:sz="4" w:space="0" w:color="auto"/>
            </w:tcBorders>
            <w:shd w:val="clear" w:color="auto" w:fill="auto"/>
            <w:noWrap/>
            <w:vAlign w:val="bottom"/>
            <w:hideMark/>
          </w:tcPr>
          <w:p w14:paraId="460C4205"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1,4</w:t>
            </w:r>
          </w:p>
        </w:tc>
      </w:tr>
      <w:tr w:rsidR="00A817CC" w:rsidRPr="00A817CC" w14:paraId="2AB00CA9" w14:textId="77777777" w:rsidTr="00A817CC">
        <w:trPr>
          <w:trHeight w:val="2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8D9C0"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65</w:t>
            </w:r>
          </w:p>
        </w:tc>
        <w:tc>
          <w:tcPr>
            <w:tcW w:w="0" w:type="auto"/>
            <w:tcBorders>
              <w:top w:val="nil"/>
              <w:left w:val="nil"/>
              <w:bottom w:val="single" w:sz="4" w:space="0" w:color="auto"/>
              <w:right w:val="single" w:sz="4" w:space="0" w:color="auto"/>
            </w:tcBorders>
            <w:shd w:val="clear" w:color="auto" w:fill="auto"/>
            <w:noWrap/>
            <w:vAlign w:val="bottom"/>
            <w:hideMark/>
          </w:tcPr>
          <w:p w14:paraId="1D7666BB"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74</w:t>
            </w:r>
          </w:p>
        </w:tc>
        <w:tc>
          <w:tcPr>
            <w:tcW w:w="1168" w:type="dxa"/>
            <w:tcBorders>
              <w:top w:val="nil"/>
              <w:left w:val="nil"/>
              <w:bottom w:val="single" w:sz="4" w:space="0" w:color="auto"/>
              <w:right w:val="single" w:sz="4" w:space="0" w:color="auto"/>
            </w:tcBorders>
            <w:shd w:val="clear" w:color="auto" w:fill="auto"/>
            <w:noWrap/>
            <w:vAlign w:val="bottom"/>
            <w:hideMark/>
          </w:tcPr>
          <w:p w14:paraId="624FCE73"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2,2</w:t>
            </w:r>
          </w:p>
        </w:tc>
      </w:tr>
      <w:tr w:rsidR="00A817CC" w:rsidRPr="00A817CC" w14:paraId="65606F1B" w14:textId="77777777" w:rsidTr="00A817CC">
        <w:trPr>
          <w:trHeight w:val="222"/>
        </w:trPr>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14:paraId="3EE2850A" w14:textId="77777777" w:rsidR="00A817CC" w:rsidRPr="00A817CC" w:rsidRDefault="00A817CC" w:rsidP="00A817CC">
            <w:pPr>
              <w:spacing w:after="0" w:line="240" w:lineRule="auto"/>
              <w:jc w:val="center"/>
              <w:rPr>
                <w:rFonts w:cstheme="minorHAnsi"/>
                <w:bCs/>
                <w:color w:val="000000"/>
                <w:sz w:val="20"/>
                <w:bdr w:val="none" w:sz="0" w:space="0" w:color="auto" w:frame="1"/>
              </w:rPr>
            </w:pPr>
            <w:r w:rsidRPr="00A817CC">
              <w:rPr>
                <w:rFonts w:cstheme="minorHAnsi"/>
                <w:bCs/>
                <w:color w:val="000000"/>
                <w:sz w:val="20"/>
                <w:bdr w:val="none" w:sz="0" w:space="0" w:color="auto" w:frame="1"/>
              </w:rPr>
              <w:t>75 in več</w:t>
            </w:r>
          </w:p>
        </w:tc>
        <w:tc>
          <w:tcPr>
            <w:tcW w:w="1168" w:type="dxa"/>
            <w:tcBorders>
              <w:top w:val="nil"/>
              <w:left w:val="nil"/>
              <w:bottom w:val="single" w:sz="4" w:space="0" w:color="auto"/>
              <w:right w:val="single" w:sz="4" w:space="0" w:color="auto"/>
            </w:tcBorders>
            <w:shd w:val="clear" w:color="auto" w:fill="auto"/>
            <w:noWrap/>
            <w:vAlign w:val="bottom"/>
            <w:hideMark/>
          </w:tcPr>
          <w:p w14:paraId="13169BB7" w14:textId="77777777" w:rsidR="00A817CC" w:rsidRPr="00A817CC" w:rsidRDefault="00A817CC" w:rsidP="00A817CC">
            <w:pPr>
              <w:spacing w:after="0" w:line="240" w:lineRule="auto"/>
              <w:jc w:val="right"/>
              <w:rPr>
                <w:rFonts w:cstheme="minorHAnsi"/>
                <w:bCs/>
                <w:color w:val="000000"/>
                <w:sz w:val="20"/>
                <w:bdr w:val="none" w:sz="0" w:space="0" w:color="auto" w:frame="1"/>
              </w:rPr>
            </w:pPr>
            <w:r w:rsidRPr="00A817CC">
              <w:rPr>
                <w:rFonts w:cstheme="minorHAnsi"/>
                <w:bCs/>
                <w:color w:val="000000"/>
                <w:sz w:val="20"/>
                <w:bdr w:val="none" w:sz="0" w:space="0" w:color="auto" w:frame="1"/>
              </w:rPr>
              <w:t>3</w:t>
            </w:r>
          </w:p>
        </w:tc>
      </w:tr>
    </w:tbl>
    <w:p w14:paraId="3F933E6B" w14:textId="77777777" w:rsidR="00A817CC" w:rsidRDefault="00A817CC" w:rsidP="00DB504E">
      <w:pPr>
        <w:spacing w:after="0" w:line="240" w:lineRule="auto"/>
        <w:rPr>
          <w:rFonts w:cstheme="minorHAnsi"/>
          <w:bCs/>
          <w:color w:val="000000"/>
          <w:u w:val="single"/>
          <w:bdr w:val="none" w:sz="0" w:space="0" w:color="auto" w:frame="1"/>
        </w:rPr>
      </w:pPr>
    </w:p>
    <w:p w14:paraId="0ECE6006" w14:textId="77777777" w:rsidR="00DB504E" w:rsidRPr="00F901EE" w:rsidRDefault="00DB504E" w:rsidP="00DB504E">
      <w:pPr>
        <w:spacing w:after="0" w:line="240" w:lineRule="auto"/>
        <w:rPr>
          <w:rFonts w:cstheme="minorHAnsi"/>
          <w:bCs/>
          <w:color w:val="000000"/>
          <w:u w:val="single"/>
          <w:bdr w:val="none" w:sz="0" w:space="0" w:color="auto" w:frame="1"/>
        </w:rPr>
      </w:pPr>
      <w:r w:rsidRPr="00F901EE">
        <w:rPr>
          <w:rFonts w:cstheme="minorHAnsi"/>
          <w:bCs/>
          <w:color w:val="000000"/>
          <w:u w:val="single"/>
          <w:bdr w:val="none" w:sz="0" w:space="0" w:color="auto" w:frame="1"/>
        </w:rPr>
        <w:t>KK2 – povprečna vrednost DDD</w:t>
      </w:r>
    </w:p>
    <w:p w14:paraId="1E466ECB" w14:textId="77777777" w:rsidR="00DB504E" w:rsidRPr="00F901EE" w:rsidRDefault="00DB504E" w:rsidP="002D53A9">
      <w:pPr>
        <w:spacing w:after="0" w:line="240" w:lineRule="auto"/>
        <w:jc w:val="both"/>
        <w:rPr>
          <w:rFonts w:cstheme="minorHAnsi"/>
          <w:bCs/>
          <w:color w:val="000000"/>
          <w:bdr w:val="none" w:sz="0" w:space="0" w:color="auto" w:frame="1"/>
        </w:rPr>
      </w:pPr>
      <w:r w:rsidRPr="00F901EE">
        <w:rPr>
          <w:rFonts w:cstheme="minorHAnsi"/>
          <w:bCs/>
          <w:color w:val="000000"/>
          <w:bdr w:val="none" w:sz="0" w:space="0" w:color="auto" w:frame="1"/>
        </w:rPr>
        <w:t xml:space="preserve">Povprečna vrednost enote </w:t>
      </w:r>
      <w:proofErr w:type="gramStart"/>
      <w:r w:rsidRPr="00F901EE">
        <w:rPr>
          <w:rFonts w:cstheme="minorHAnsi"/>
          <w:bCs/>
          <w:color w:val="000000"/>
          <w:bdr w:val="none" w:sz="0" w:space="0" w:color="auto" w:frame="1"/>
        </w:rPr>
        <w:t>DDD</w:t>
      </w:r>
      <w:proofErr w:type="gramEnd"/>
      <w:r w:rsidRPr="00F901EE">
        <w:rPr>
          <w:rFonts w:cstheme="minorHAnsi"/>
          <w:bCs/>
          <w:color w:val="000000"/>
          <w:bdr w:val="none" w:sz="0" w:space="0" w:color="auto" w:frame="1"/>
        </w:rPr>
        <w:t xml:space="preserve"> vseh izdanih zdravil v </w:t>
      </w:r>
      <w:r w:rsidR="002D53A9">
        <w:rPr>
          <w:rFonts w:cstheme="minorHAnsi"/>
          <w:bCs/>
          <w:color w:val="000000"/>
          <w:bdr w:val="none" w:sz="0" w:space="0" w:color="auto" w:frame="1"/>
        </w:rPr>
        <w:t>evrih</w:t>
      </w:r>
      <w:r w:rsidRPr="00F901EE">
        <w:rPr>
          <w:rFonts w:cstheme="minorHAnsi"/>
          <w:bCs/>
          <w:color w:val="000000"/>
          <w:bdr w:val="none" w:sz="0" w:space="0" w:color="auto" w:frame="1"/>
        </w:rPr>
        <w:t>. Nižji rezultat od povprečja pomeni, da zdravnik predpisuje cenejša zdravila.</w:t>
      </w:r>
    </w:p>
    <w:p w14:paraId="39711FA2" w14:textId="77777777" w:rsidR="0066042A" w:rsidRDefault="0066042A" w:rsidP="00A6766C">
      <w:pPr>
        <w:spacing w:after="0" w:line="240" w:lineRule="auto"/>
        <w:rPr>
          <w:rFonts w:cstheme="minorHAnsi"/>
          <w:b/>
          <w:bCs/>
          <w:color w:val="000000"/>
          <w:bdr w:val="none" w:sz="0" w:space="0" w:color="auto" w:frame="1"/>
        </w:rPr>
      </w:pPr>
    </w:p>
    <w:p w14:paraId="43D76E7B" w14:textId="77777777" w:rsidR="0066042A" w:rsidRPr="007809E9" w:rsidRDefault="00F901EE" w:rsidP="00A6766C">
      <w:pPr>
        <w:spacing w:after="0" w:line="240" w:lineRule="auto"/>
        <w:rPr>
          <w:rFonts w:cstheme="minorHAnsi"/>
          <w:b/>
          <w:bCs/>
          <w:color w:val="000000"/>
          <w:sz w:val="24"/>
          <w:bdr w:val="none" w:sz="0" w:space="0" w:color="auto" w:frame="1"/>
        </w:rPr>
      </w:pPr>
      <w:r w:rsidRPr="007809E9">
        <w:rPr>
          <w:rFonts w:cstheme="minorHAnsi"/>
          <w:b/>
          <w:bCs/>
          <w:color w:val="000000"/>
          <w:sz w:val="24"/>
          <w:bdr w:val="none" w:sz="0" w:space="0" w:color="auto" w:frame="1"/>
        </w:rPr>
        <w:t xml:space="preserve">2.2. </w:t>
      </w:r>
      <w:r w:rsidR="0066042A" w:rsidRPr="007809E9">
        <w:rPr>
          <w:rFonts w:cstheme="minorHAnsi"/>
          <w:b/>
          <w:bCs/>
          <w:color w:val="000000"/>
          <w:sz w:val="24"/>
          <w:bdr w:val="none" w:sz="0" w:space="0" w:color="auto" w:frame="1"/>
        </w:rPr>
        <w:t>Predpisovanje antibiotikov</w:t>
      </w:r>
    </w:p>
    <w:p w14:paraId="3AB63C5A" w14:textId="77777777" w:rsidR="0066042A" w:rsidRDefault="0066042A" w:rsidP="00A6766C">
      <w:pPr>
        <w:spacing w:after="0" w:line="240" w:lineRule="auto"/>
        <w:rPr>
          <w:rFonts w:cstheme="minorHAnsi"/>
          <w:b/>
          <w:bCs/>
          <w:color w:val="000000"/>
          <w:bdr w:val="none" w:sz="0" w:space="0" w:color="auto" w:frame="1"/>
        </w:rPr>
      </w:pPr>
    </w:p>
    <w:p w14:paraId="7C361019" w14:textId="77777777" w:rsidR="00F901EE" w:rsidRPr="00F901EE" w:rsidRDefault="00F901EE" w:rsidP="00F901EE">
      <w:pPr>
        <w:spacing w:after="0" w:line="240" w:lineRule="auto"/>
        <w:rPr>
          <w:rFonts w:cstheme="minorHAnsi"/>
          <w:bCs/>
          <w:color w:val="000000"/>
          <w:u w:val="single"/>
          <w:bdr w:val="none" w:sz="0" w:space="0" w:color="auto" w:frame="1"/>
        </w:rPr>
      </w:pPr>
      <w:r w:rsidRPr="00F901EE">
        <w:rPr>
          <w:rFonts w:cstheme="minorHAnsi"/>
          <w:bCs/>
          <w:color w:val="000000"/>
          <w:u w:val="single"/>
          <w:bdr w:val="none" w:sz="0" w:space="0" w:color="auto" w:frame="1"/>
        </w:rPr>
        <w:t xml:space="preserve">KK3 – </w:t>
      </w:r>
      <w:proofErr w:type="gramStart"/>
      <w:r w:rsidRPr="00F901EE">
        <w:rPr>
          <w:rFonts w:cstheme="minorHAnsi"/>
          <w:bCs/>
          <w:color w:val="000000"/>
          <w:u w:val="single"/>
          <w:bdr w:val="none" w:sz="0" w:space="0" w:color="auto" w:frame="1"/>
        </w:rPr>
        <w:t>prevalenca</w:t>
      </w:r>
      <w:proofErr w:type="gramEnd"/>
      <w:r w:rsidRPr="00F901EE">
        <w:rPr>
          <w:rFonts w:cstheme="minorHAnsi"/>
          <w:bCs/>
          <w:color w:val="000000"/>
          <w:u w:val="single"/>
          <w:bdr w:val="none" w:sz="0" w:space="0" w:color="auto" w:frame="1"/>
        </w:rPr>
        <w:t xml:space="preserve"> prejemnikov antibiotikov</w:t>
      </w:r>
    </w:p>
    <w:p w14:paraId="41149341" w14:textId="12253AFF" w:rsidR="00F901EE" w:rsidRPr="00F901EE" w:rsidRDefault="00F901EE" w:rsidP="00F901EE">
      <w:pPr>
        <w:spacing w:after="0" w:line="240" w:lineRule="auto"/>
        <w:jc w:val="both"/>
        <w:rPr>
          <w:rFonts w:cstheme="minorHAnsi"/>
          <w:bCs/>
          <w:color w:val="000000"/>
          <w:bdr w:val="none" w:sz="0" w:space="0" w:color="auto" w:frame="1"/>
        </w:rPr>
      </w:pPr>
      <w:r w:rsidRPr="00F901EE">
        <w:rPr>
          <w:rFonts w:cstheme="minorHAnsi"/>
          <w:bCs/>
          <w:color w:val="000000"/>
          <w:bdr w:val="none" w:sz="0" w:space="0" w:color="auto" w:frame="1"/>
        </w:rPr>
        <w:t>Podatek kaže</w:t>
      </w:r>
      <w:r w:rsidR="002A4F6F">
        <w:rPr>
          <w:rFonts w:cstheme="minorHAnsi"/>
          <w:bCs/>
          <w:color w:val="000000"/>
          <w:bdr w:val="none" w:sz="0" w:space="0" w:color="auto" w:frame="1"/>
        </w:rPr>
        <w:t xml:space="preserve"> število </w:t>
      </w:r>
      <w:r w:rsidRPr="00F901EE">
        <w:rPr>
          <w:rFonts w:cstheme="minorHAnsi"/>
          <w:bCs/>
          <w:color w:val="000000"/>
          <w:bdr w:val="none" w:sz="0" w:space="0" w:color="auto" w:frame="1"/>
        </w:rPr>
        <w:t>zavarovanih oseb na 1</w:t>
      </w:r>
      <w:r w:rsidR="002D53A9">
        <w:rPr>
          <w:rFonts w:cstheme="minorHAnsi"/>
          <w:bCs/>
          <w:color w:val="000000"/>
          <w:bdr w:val="none" w:sz="0" w:space="0" w:color="auto" w:frame="1"/>
        </w:rPr>
        <w:t>.</w:t>
      </w:r>
      <w:r w:rsidRPr="00F901EE">
        <w:rPr>
          <w:rFonts w:cstheme="minorHAnsi"/>
          <w:bCs/>
          <w:color w:val="000000"/>
          <w:bdr w:val="none" w:sz="0" w:space="0" w:color="auto" w:frame="1"/>
        </w:rPr>
        <w:t>000 prejemnikov receptov</w:t>
      </w:r>
      <w:r w:rsidR="002A4F6F">
        <w:rPr>
          <w:rFonts w:cstheme="minorHAnsi"/>
          <w:bCs/>
          <w:color w:val="000000"/>
          <w:bdr w:val="none" w:sz="0" w:space="0" w:color="auto" w:frame="1"/>
        </w:rPr>
        <w:t>,</w:t>
      </w:r>
      <w:r w:rsidRPr="00F901EE">
        <w:rPr>
          <w:rFonts w:cstheme="minorHAnsi"/>
          <w:bCs/>
          <w:color w:val="000000"/>
          <w:bdr w:val="none" w:sz="0" w:space="0" w:color="auto" w:frame="1"/>
        </w:rPr>
        <w:t xml:space="preserve"> </w:t>
      </w:r>
      <w:r w:rsidR="002A4F6F">
        <w:rPr>
          <w:rFonts w:cstheme="minorHAnsi"/>
          <w:bCs/>
          <w:color w:val="000000"/>
          <w:bdr w:val="none" w:sz="0" w:space="0" w:color="auto" w:frame="1"/>
        </w:rPr>
        <w:t xml:space="preserve">ki so </w:t>
      </w:r>
      <w:r w:rsidRPr="00F901EE">
        <w:rPr>
          <w:rFonts w:cstheme="minorHAnsi"/>
          <w:bCs/>
          <w:color w:val="000000"/>
          <w:bdr w:val="none" w:sz="0" w:space="0" w:color="auto" w:frame="1"/>
        </w:rPr>
        <w:t>prejel</w:t>
      </w:r>
      <w:r w:rsidR="002A4F6F">
        <w:rPr>
          <w:rFonts w:cstheme="minorHAnsi"/>
          <w:bCs/>
          <w:color w:val="000000"/>
          <w:bdr w:val="none" w:sz="0" w:space="0" w:color="auto" w:frame="1"/>
        </w:rPr>
        <w:t>e</w:t>
      </w:r>
      <w:r w:rsidRPr="00F901EE">
        <w:rPr>
          <w:rFonts w:cstheme="minorHAnsi"/>
          <w:bCs/>
          <w:color w:val="000000"/>
          <w:bdr w:val="none" w:sz="0" w:space="0" w:color="auto" w:frame="1"/>
        </w:rPr>
        <w:t xml:space="preserve"> vsaj en recept </w:t>
      </w:r>
      <w:r w:rsidR="00DE5138">
        <w:rPr>
          <w:rFonts w:cstheme="minorHAnsi"/>
          <w:bCs/>
          <w:color w:val="000000"/>
          <w:bdr w:val="none" w:sz="0" w:space="0" w:color="auto" w:frame="1"/>
        </w:rPr>
        <w:t xml:space="preserve">za </w:t>
      </w:r>
      <w:r w:rsidRPr="00F901EE">
        <w:rPr>
          <w:rFonts w:cstheme="minorHAnsi"/>
          <w:bCs/>
          <w:color w:val="000000"/>
          <w:bdr w:val="none" w:sz="0" w:space="0" w:color="auto" w:frame="1"/>
        </w:rPr>
        <w:t>antibiotik</w:t>
      </w:r>
      <w:r>
        <w:rPr>
          <w:rFonts w:cstheme="minorHAnsi"/>
          <w:bCs/>
          <w:color w:val="000000"/>
          <w:bdr w:val="none" w:sz="0" w:space="0" w:color="auto" w:frame="1"/>
        </w:rPr>
        <w:t xml:space="preserve"> (zdravila </w:t>
      </w:r>
      <w:r w:rsidR="007809E9">
        <w:rPr>
          <w:rFonts w:cstheme="minorHAnsi"/>
          <w:bCs/>
          <w:color w:val="000000"/>
          <w:bdr w:val="none" w:sz="0" w:space="0" w:color="auto" w:frame="1"/>
        </w:rPr>
        <w:t>z oznako</w:t>
      </w:r>
      <w:r w:rsidR="00F4273F">
        <w:rPr>
          <w:rFonts w:cstheme="minorHAnsi"/>
          <w:bCs/>
          <w:color w:val="000000"/>
          <w:bdr w:val="none" w:sz="0" w:space="0" w:color="auto" w:frame="1"/>
        </w:rPr>
        <w:t xml:space="preserve"> ATC</w:t>
      </w:r>
      <w:r>
        <w:rPr>
          <w:rFonts w:cstheme="minorHAnsi"/>
          <w:bCs/>
          <w:color w:val="000000"/>
          <w:bdr w:val="none" w:sz="0" w:space="0" w:color="auto" w:frame="1"/>
        </w:rPr>
        <w:t xml:space="preserve"> J01)</w:t>
      </w:r>
      <w:r w:rsidRPr="00F901EE">
        <w:rPr>
          <w:rFonts w:cstheme="minorHAnsi"/>
          <w:bCs/>
          <w:color w:val="000000"/>
          <w:bdr w:val="none" w:sz="0" w:space="0" w:color="auto" w:frame="1"/>
        </w:rPr>
        <w:t xml:space="preserve">. Nižji rezultat od povprečja kaže na </w:t>
      </w:r>
      <w:r w:rsidR="00621B33">
        <w:rPr>
          <w:rFonts w:cstheme="minorHAnsi"/>
          <w:bCs/>
          <w:color w:val="000000"/>
          <w:bdr w:val="none" w:sz="0" w:space="0" w:color="auto" w:frame="1"/>
        </w:rPr>
        <w:t xml:space="preserve">bolj preudarno </w:t>
      </w:r>
      <w:r w:rsidRPr="00F901EE">
        <w:rPr>
          <w:rFonts w:cstheme="minorHAnsi"/>
          <w:bCs/>
          <w:color w:val="000000"/>
          <w:bdr w:val="none" w:sz="0" w:space="0" w:color="auto" w:frame="1"/>
        </w:rPr>
        <w:t>predpisovanje antibiotikov, saj je antibiotik prejelo manj oseb od slovenskega povprečja.</w:t>
      </w:r>
    </w:p>
    <w:p w14:paraId="4D620E56" w14:textId="77777777" w:rsidR="00F901EE" w:rsidRDefault="00F901EE" w:rsidP="00A6766C">
      <w:pPr>
        <w:spacing w:after="0" w:line="240" w:lineRule="auto"/>
        <w:rPr>
          <w:rFonts w:cstheme="minorHAnsi"/>
          <w:b/>
          <w:bCs/>
          <w:color w:val="000000"/>
          <w:bdr w:val="none" w:sz="0" w:space="0" w:color="auto" w:frame="1"/>
        </w:rPr>
      </w:pPr>
    </w:p>
    <w:p w14:paraId="11F799F4" w14:textId="3792796E" w:rsidR="00B607A8" w:rsidRDefault="00F901EE" w:rsidP="00F901EE">
      <w:pPr>
        <w:spacing w:after="0" w:line="240" w:lineRule="auto"/>
        <w:rPr>
          <w:rFonts w:cstheme="minorHAnsi"/>
          <w:bCs/>
          <w:color w:val="000000"/>
          <w:bdr w:val="none" w:sz="0" w:space="0" w:color="auto" w:frame="1"/>
        </w:rPr>
      </w:pPr>
      <w:r w:rsidRPr="00F901EE">
        <w:rPr>
          <w:rFonts w:cstheme="minorHAnsi"/>
          <w:bCs/>
          <w:color w:val="000000"/>
          <w:u w:val="single"/>
          <w:bdr w:val="none" w:sz="0" w:space="0" w:color="auto" w:frame="1"/>
        </w:rPr>
        <w:t>KK4 –</w:t>
      </w:r>
      <w:r w:rsidR="002D06F9">
        <w:rPr>
          <w:rFonts w:cstheme="minorHAnsi"/>
          <w:bCs/>
          <w:color w:val="000000"/>
          <w:u w:val="single"/>
          <w:bdr w:val="none" w:sz="0" w:space="0" w:color="auto" w:frame="1"/>
        </w:rPr>
        <w:t xml:space="preserve"> </w:t>
      </w:r>
      <w:r w:rsidR="00FF5A29">
        <w:rPr>
          <w:rFonts w:cstheme="minorHAnsi"/>
          <w:bCs/>
          <w:color w:val="000000"/>
          <w:u w:val="single"/>
          <w:bdr w:val="none" w:sz="0" w:space="0" w:color="auto" w:frame="1"/>
        </w:rPr>
        <w:t xml:space="preserve">delež </w:t>
      </w:r>
      <w:r w:rsidR="002A4F6F">
        <w:rPr>
          <w:rFonts w:cstheme="minorHAnsi"/>
          <w:bCs/>
          <w:color w:val="000000"/>
          <w:u w:val="single"/>
          <w:bdr w:val="none" w:sz="0" w:space="0" w:color="auto" w:frame="1"/>
        </w:rPr>
        <w:t xml:space="preserve">porabe </w:t>
      </w:r>
      <w:r w:rsidRPr="00F901EE">
        <w:rPr>
          <w:rFonts w:cstheme="minorHAnsi"/>
          <w:bCs/>
          <w:color w:val="000000"/>
          <w:u w:val="single"/>
          <w:bdr w:val="none" w:sz="0" w:space="0" w:color="auto" w:frame="1"/>
        </w:rPr>
        <w:t>širokospektralnih antibiotikov</w:t>
      </w:r>
      <w:r w:rsidRPr="00A817CC">
        <w:rPr>
          <w:rFonts w:cstheme="minorHAnsi"/>
          <w:bCs/>
          <w:color w:val="000000"/>
          <w:bdr w:val="none" w:sz="0" w:space="0" w:color="auto" w:frame="1"/>
        </w:rPr>
        <w:t xml:space="preserve"> </w:t>
      </w:r>
    </w:p>
    <w:p w14:paraId="45CCDE65" w14:textId="311F0A72" w:rsidR="00F901EE" w:rsidRPr="00F901EE" w:rsidRDefault="00B607A8" w:rsidP="00D53A7F">
      <w:pPr>
        <w:spacing w:after="0" w:line="240" w:lineRule="auto"/>
        <w:jc w:val="both"/>
        <w:rPr>
          <w:rFonts w:cstheme="minorHAnsi"/>
          <w:bCs/>
          <w:color w:val="000000"/>
          <w:u w:val="single"/>
          <w:bdr w:val="none" w:sz="0" w:space="0" w:color="auto" w:frame="1"/>
        </w:rPr>
      </w:pPr>
      <w:r>
        <w:rPr>
          <w:rFonts w:cstheme="minorHAnsi"/>
          <w:bCs/>
          <w:color w:val="000000"/>
          <w:bdr w:val="none" w:sz="0" w:space="0" w:color="auto" w:frame="1"/>
        </w:rPr>
        <w:t>K</w:t>
      </w:r>
      <w:r w:rsidR="00210F1C" w:rsidRPr="00A817CC">
        <w:rPr>
          <w:rFonts w:cstheme="minorHAnsi"/>
          <w:bCs/>
          <w:color w:val="000000"/>
          <w:bdr w:val="none" w:sz="0" w:space="0" w:color="auto" w:frame="1"/>
        </w:rPr>
        <w:t xml:space="preserve">azalnik je </w:t>
      </w:r>
      <w:r w:rsidR="00F901EE" w:rsidRPr="00A817CC">
        <w:rPr>
          <w:rFonts w:cstheme="minorHAnsi"/>
          <w:bCs/>
          <w:color w:val="000000"/>
          <w:bdr w:val="none" w:sz="0" w:space="0" w:color="auto" w:frame="1"/>
        </w:rPr>
        <w:t xml:space="preserve">povzet po </w:t>
      </w:r>
      <w:r w:rsidR="00210F1C" w:rsidRPr="00A817CC">
        <w:rPr>
          <w:rFonts w:cstheme="minorHAnsi"/>
          <w:bCs/>
          <w:color w:val="000000"/>
          <w:bdr w:val="none" w:sz="0" w:space="0" w:color="auto" w:frame="1"/>
        </w:rPr>
        <w:t xml:space="preserve">metodologiji </w:t>
      </w:r>
      <w:r w:rsidR="000434F4" w:rsidRPr="00A817CC">
        <w:rPr>
          <w:rFonts w:cstheme="minorHAnsi"/>
          <w:bCs/>
          <w:color w:val="000000"/>
          <w:bdr w:val="none" w:sz="0" w:space="0" w:color="auto" w:frame="1"/>
        </w:rPr>
        <w:t xml:space="preserve">Organizacije za ekonomsko sodelovanje in razvoj – </w:t>
      </w:r>
      <w:r w:rsidR="00F901EE" w:rsidRPr="00A817CC">
        <w:rPr>
          <w:rFonts w:cstheme="minorHAnsi"/>
          <w:bCs/>
          <w:color w:val="000000"/>
          <w:bdr w:val="none" w:sz="0" w:space="0" w:color="auto" w:frame="1"/>
        </w:rPr>
        <w:t>OECD</w:t>
      </w:r>
      <w:r w:rsidR="00D73887" w:rsidRPr="002D06F9">
        <w:rPr>
          <w:rStyle w:val="Sprotnaopomba-sklic"/>
          <w:rFonts w:cstheme="minorHAnsi"/>
          <w:b/>
          <w:color w:val="000000"/>
          <w:bdr w:val="none" w:sz="0" w:space="0" w:color="auto" w:frame="1"/>
        </w:rPr>
        <w:footnoteReference w:id="1"/>
      </w:r>
      <w:r>
        <w:rPr>
          <w:rFonts w:cstheme="minorHAnsi"/>
          <w:bCs/>
          <w:color w:val="000000"/>
          <w:bdr w:val="none" w:sz="0" w:space="0" w:color="auto" w:frame="1"/>
        </w:rPr>
        <w:t xml:space="preserve">. </w:t>
      </w:r>
    </w:p>
    <w:p w14:paraId="5F7CAAC5" w14:textId="4D01EA39" w:rsidR="00F901EE" w:rsidRPr="00F901EE" w:rsidRDefault="00F901EE" w:rsidP="00F901EE">
      <w:pPr>
        <w:spacing w:after="0" w:line="240" w:lineRule="auto"/>
        <w:jc w:val="both"/>
        <w:rPr>
          <w:rFonts w:cstheme="minorHAnsi"/>
          <w:bCs/>
          <w:color w:val="000000"/>
          <w:bdr w:val="none" w:sz="0" w:space="0" w:color="auto" w:frame="1"/>
        </w:rPr>
      </w:pPr>
      <w:r w:rsidRPr="00F901EE">
        <w:rPr>
          <w:rFonts w:cstheme="minorHAnsi"/>
          <w:bCs/>
          <w:color w:val="000000"/>
          <w:bdr w:val="none" w:sz="0" w:space="0" w:color="auto" w:frame="1"/>
        </w:rPr>
        <w:t xml:space="preserve">Prikazuje delež </w:t>
      </w:r>
      <w:r w:rsidR="00F4273F">
        <w:rPr>
          <w:rFonts w:cstheme="minorHAnsi"/>
          <w:bCs/>
          <w:color w:val="000000"/>
          <w:bdr w:val="none" w:sz="0" w:space="0" w:color="auto" w:frame="1"/>
        </w:rPr>
        <w:t xml:space="preserve">porabe (v DDD) </w:t>
      </w:r>
      <w:r w:rsidRPr="00F901EE">
        <w:rPr>
          <w:rFonts w:cstheme="minorHAnsi"/>
          <w:bCs/>
          <w:color w:val="000000"/>
          <w:bdr w:val="none" w:sz="0" w:space="0" w:color="auto" w:frame="1"/>
        </w:rPr>
        <w:t>dveh skupin širokospektralnih antibiotikov</w:t>
      </w:r>
      <w:r w:rsidR="002A4F6F">
        <w:rPr>
          <w:rFonts w:cstheme="minorHAnsi"/>
          <w:bCs/>
          <w:color w:val="000000"/>
          <w:bdr w:val="none" w:sz="0" w:space="0" w:color="auto" w:frame="1"/>
        </w:rPr>
        <w:t>,</w:t>
      </w:r>
      <w:r w:rsidRPr="00F901EE">
        <w:rPr>
          <w:rFonts w:cstheme="minorHAnsi"/>
          <w:bCs/>
          <w:color w:val="000000"/>
          <w:bdr w:val="none" w:sz="0" w:space="0" w:color="auto" w:frame="1"/>
        </w:rPr>
        <w:t xml:space="preserve"> kinolonov in cefal</w:t>
      </w:r>
      <w:r>
        <w:rPr>
          <w:rFonts w:cstheme="minorHAnsi"/>
          <w:bCs/>
          <w:color w:val="000000"/>
          <w:bdr w:val="none" w:sz="0" w:space="0" w:color="auto" w:frame="1"/>
        </w:rPr>
        <w:t>osporinov</w:t>
      </w:r>
      <w:r w:rsidR="002A4F6F">
        <w:rPr>
          <w:rFonts w:cstheme="minorHAnsi"/>
          <w:bCs/>
          <w:color w:val="000000"/>
          <w:bdr w:val="none" w:sz="0" w:space="0" w:color="auto" w:frame="1"/>
        </w:rPr>
        <w:t>,</w:t>
      </w:r>
      <w:r>
        <w:rPr>
          <w:rFonts w:cstheme="minorHAnsi"/>
          <w:bCs/>
          <w:color w:val="000000"/>
          <w:bdr w:val="none" w:sz="0" w:space="0" w:color="auto" w:frame="1"/>
        </w:rPr>
        <w:t xml:space="preserve"> v vseh antibiotikih. </w:t>
      </w:r>
      <w:r w:rsidRPr="00F901EE">
        <w:rPr>
          <w:rFonts w:cstheme="minorHAnsi"/>
          <w:bCs/>
          <w:color w:val="000000"/>
          <w:bdr w:val="none" w:sz="0" w:space="0" w:color="auto" w:frame="1"/>
        </w:rPr>
        <w:t>Nižji količnik pomeni, da zdravnik v večji meri predpisuje antibiotike v skladu s slovenskimi smernicami.</w:t>
      </w:r>
    </w:p>
    <w:p w14:paraId="4CB03EDA" w14:textId="77777777" w:rsidR="00F901EE" w:rsidRDefault="00F901EE" w:rsidP="00A6766C">
      <w:pPr>
        <w:spacing w:after="0" w:line="240" w:lineRule="auto"/>
        <w:rPr>
          <w:rFonts w:cstheme="minorHAnsi"/>
          <w:b/>
          <w:bCs/>
          <w:color w:val="000000"/>
          <w:bdr w:val="none" w:sz="0" w:space="0" w:color="auto" w:frame="1"/>
        </w:rPr>
      </w:pPr>
    </w:p>
    <w:p w14:paraId="6369E350" w14:textId="77777777" w:rsidR="002A4F6F" w:rsidRDefault="00F901EE" w:rsidP="00F901EE">
      <w:pPr>
        <w:spacing w:after="0" w:line="240" w:lineRule="auto"/>
        <w:rPr>
          <w:rFonts w:cstheme="minorHAnsi"/>
          <w:bCs/>
          <w:color w:val="000000"/>
          <w:bdr w:val="none" w:sz="0" w:space="0" w:color="auto" w:frame="1"/>
        </w:rPr>
      </w:pPr>
      <w:r w:rsidRPr="00F901EE">
        <w:rPr>
          <w:rFonts w:cstheme="minorHAnsi"/>
          <w:bCs/>
          <w:color w:val="000000"/>
          <w:u w:val="single"/>
          <w:bdr w:val="none" w:sz="0" w:space="0" w:color="auto" w:frame="1"/>
        </w:rPr>
        <w:t xml:space="preserve">KK5 – razmerje </w:t>
      </w:r>
      <w:r w:rsidR="002A4F6F">
        <w:rPr>
          <w:rFonts w:cstheme="minorHAnsi"/>
          <w:bCs/>
          <w:color w:val="000000"/>
          <w:u w:val="single"/>
          <w:bdr w:val="none" w:sz="0" w:space="0" w:color="auto" w:frame="1"/>
        </w:rPr>
        <w:t xml:space="preserve">porabe </w:t>
      </w:r>
      <w:r w:rsidRPr="00F901EE">
        <w:rPr>
          <w:rFonts w:cstheme="minorHAnsi"/>
          <w:bCs/>
          <w:color w:val="000000"/>
          <w:u w:val="single"/>
          <w:bdr w:val="none" w:sz="0" w:space="0" w:color="auto" w:frame="1"/>
        </w:rPr>
        <w:t>široko- in ozkospektralnih antibiotikov</w:t>
      </w:r>
      <w:r w:rsidRPr="00A817CC">
        <w:rPr>
          <w:rFonts w:cstheme="minorHAnsi"/>
          <w:bCs/>
          <w:color w:val="000000"/>
          <w:bdr w:val="none" w:sz="0" w:space="0" w:color="auto" w:frame="1"/>
        </w:rPr>
        <w:t xml:space="preserve"> </w:t>
      </w:r>
    </w:p>
    <w:p w14:paraId="53791E8F" w14:textId="11C03C20" w:rsidR="00F901EE" w:rsidRDefault="002A4F6F"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K</w:t>
      </w:r>
      <w:r w:rsidR="00210F1C" w:rsidRPr="00A817CC">
        <w:rPr>
          <w:rFonts w:cstheme="minorHAnsi"/>
          <w:bCs/>
          <w:color w:val="000000"/>
          <w:bdr w:val="none" w:sz="0" w:space="0" w:color="auto" w:frame="1"/>
        </w:rPr>
        <w:t xml:space="preserve">azalnik je </w:t>
      </w:r>
      <w:r w:rsidR="00F901EE" w:rsidRPr="00A817CC">
        <w:rPr>
          <w:rFonts w:cstheme="minorHAnsi"/>
          <w:bCs/>
          <w:color w:val="000000"/>
          <w:bdr w:val="none" w:sz="0" w:space="0" w:color="auto" w:frame="1"/>
        </w:rPr>
        <w:t xml:space="preserve">povzet po </w:t>
      </w:r>
      <w:r w:rsidR="00210F1C" w:rsidRPr="00A817CC">
        <w:rPr>
          <w:rFonts w:cstheme="minorHAnsi"/>
          <w:bCs/>
          <w:color w:val="000000"/>
          <w:bdr w:val="none" w:sz="0" w:space="0" w:color="auto" w:frame="1"/>
        </w:rPr>
        <w:t xml:space="preserve">metodologiji Evropskega </w:t>
      </w:r>
      <w:proofErr w:type="gramStart"/>
      <w:r w:rsidR="00210F1C" w:rsidRPr="00A817CC">
        <w:rPr>
          <w:rFonts w:cstheme="minorHAnsi"/>
          <w:bCs/>
          <w:color w:val="000000"/>
          <w:bdr w:val="none" w:sz="0" w:space="0" w:color="auto" w:frame="1"/>
        </w:rPr>
        <w:t>centra</w:t>
      </w:r>
      <w:proofErr w:type="gramEnd"/>
      <w:r w:rsidR="00210F1C" w:rsidRPr="00A817CC">
        <w:rPr>
          <w:rFonts w:cstheme="minorHAnsi"/>
          <w:bCs/>
          <w:color w:val="000000"/>
          <w:bdr w:val="none" w:sz="0" w:space="0" w:color="auto" w:frame="1"/>
        </w:rPr>
        <w:t xml:space="preserve"> za nadzor bolezni </w:t>
      </w:r>
      <w:r w:rsidR="000434F4" w:rsidRPr="00A817CC">
        <w:rPr>
          <w:rFonts w:cstheme="minorHAnsi"/>
          <w:bCs/>
          <w:color w:val="000000"/>
          <w:bdr w:val="none" w:sz="0" w:space="0" w:color="auto" w:frame="1"/>
        </w:rPr>
        <w:t xml:space="preserve">– </w:t>
      </w:r>
      <w:r w:rsidR="00F901EE" w:rsidRPr="00A817CC">
        <w:rPr>
          <w:rFonts w:cstheme="minorHAnsi"/>
          <w:bCs/>
          <w:color w:val="000000"/>
          <w:bdr w:val="none" w:sz="0" w:space="0" w:color="auto" w:frame="1"/>
        </w:rPr>
        <w:t>ECDC</w:t>
      </w:r>
      <w:r w:rsidR="00210F1C" w:rsidRPr="002D06F9">
        <w:rPr>
          <w:rStyle w:val="Sprotnaopomba-sklic"/>
          <w:rFonts w:cstheme="minorHAnsi"/>
          <w:b/>
          <w:iCs/>
        </w:rPr>
        <w:footnoteReference w:id="2"/>
      </w:r>
      <w:r>
        <w:rPr>
          <w:rStyle w:val="NogaZnak"/>
          <w:rFonts w:cstheme="minorHAnsi"/>
          <w:bCs/>
          <w:iCs/>
        </w:rPr>
        <w:t xml:space="preserve">. </w:t>
      </w:r>
      <w:r>
        <w:rPr>
          <w:rFonts w:cstheme="minorHAnsi"/>
          <w:bCs/>
          <w:color w:val="000000"/>
          <w:bdr w:val="none" w:sz="0" w:space="0" w:color="auto" w:frame="1"/>
        </w:rPr>
        <w:t>Kaže r</w:t>
      </w:r>
      <w:r w:rsidR="00F901EE" w:rsidRPr="00F901EE">
        <w:rPr>
          <w:rFonts w:cstheme="minorHAnsi"/>
          <w:bCs/>
          <w:color w:val="000000"/>
          <w:bdr w:val="none" w:sz="0" w:space="0" w:color="auto" w:frame="1"/>
        </w:rPr>
        <w:t xml:space="preserve">azmerje </w:t>
      </w:r>
      <w:r>
        <w:rPr>
          <w:rFonts w:cstheme="minorHAnsi"/>
          <w:bCs/>
          <w:color w:val="000000"/>
          <w:bdr w:val="none" w:sz="0" w:space="0" w:color="auto" w:frame="1"/>
        </w:rPr>
        <w:t xml:space="preserve">porabe (v DDD) </w:t>
      </w:r>
      <w:r w:rsidR="00F901EE" w:rsidRPr="00F901EE">
        <w:rPr>
          <w:rFonts w:cstheme="minorHAnsi"/>
          <w:bCs/>
          <w:color w:val="000000"/>
          <w:bdr w:val="none" w:sz="0" w:space="0" w:color="auto" w:frame="1"/>
        </w:rPr>
        <w:t>med široko- in ozkospektralnimi antibiotiki</w:t>
      </w:r>
      <w:r w:rsidR="00200825">
        <w:rPr>
          <w:rFonts w:cstheme="minorHAnsi"/>
          <w:bCs/>
          <w:color w:val="000000"/>
          <w:bdr w:val="none" w:sz="0" w:space="0" w:color="auto" w:frame="1"/>
        </w:rPr>
        <w:t xml:space="preserve">, kot so prikazani v tabeli </w:t>
      </w:r>
      <w:r w:rsidR="00200825" w:rsidRPr="002B0017">
        <w:rPr>
          <w:rFonts w:cstheme="minorHAnsi"/>
          <w:bCs/>
          <w:i/>
          <w:iCs/>
          <w:color w:val="000000"/>
          <w:bdr w:val="none" w:sz="0" w:space="0" w:color="auto" w:frame="1"/>
        </w:rPr>
        <w:t>Razdelitev antibiotikov na široko- in ozkospektralne po metodologiji ECDC</w:t>
      </w:r>
      <w:r w:rsidR="00F901EE" w:rsidRPr="00F901EE">
        <w:rPr>
          <w:rFonts w:cstheme="minorHAnsi"/>
          <w:bCs/>
          <w:color w:val="000000"/>
          <w:bdr w:val="none" w:sz="0" w:space="0" w:color="auto" w:frame="1"/>
        </w:rPr>
        <w:t xml:space="preserve">. </w:t>
      </w:r>
      <w:r w:rsidR="00F901EE" w:rsidRPr="00F63349">
        <w:t>Rezultat, ki je večji od 1, kaže, da je predpisanih več široko- kot ozkospektralnih antibiotikov. Rezultat, ki je manjši od 1 (npr. 0,90) kaže, da je predpisanih več ozko- kot širokospektralnih antibiotikov. Če ni bil predpisan noben ozkospektralni antibiotik, izračun kazalnika ni možen. Če ni bil predpisan noben širokospektralni antibiotik, je rezultat enak 0. Nižji količnik pomeni, da zdravnik v večji meri predpisuje antibiotike v skladu s slovenskimi smernicami.</w:t>
      </w:r>
    </w:p>
    <w:p w14:paraId="769FF884" w14:textId="74EB6D04" w:rsidR="00A817CC" w:rsidRDefault="00A817CC" w:rsidP="00F901EE">
      <w:pPr>
        <w:spacing w:after="0" w:line="240" w:lineRule="auto"/>
        <w:jc w:val="both"/>
        <w:rPr>
          <w:rFonts w:cstheme="minorHAnsi"/>
          <w:bCs/>
          <w:color w:val="000000"/>
          <w:bdr w:val="none" w:sz="0" w:space="0" w:color="auto" w:frame="1"/>
        </w:rPr>
      </w:pPr>
    </w:p>
    <w:p w14:paraId="104C0C2F" w14:textId="77777777" w:rsidR="00D53A7F" w:rsidRDefault="00D53A7F" w:rsidP="00210F1C">
      <w:pPr>
        <w:spacing w:after="0" w:line="240" w:lineRule="auto"/>
        <w:jc w:val="both"/>
        <w:rPr>
          <w:rFonts w:cstheme="minorHAnsi"/>
          <w:bCs/>
          <w:i/>
          <w:iCs/>
          <w:color w:val="000000"/>
          <w:bdr w:val="none" w:sz="0" w:space="0" w:color="auto" w:frame="1"/>
        </w:rPr>
      </w:pPr>
      <w:bookmarkStart w:id="1" w:name="_Hlk39749818"/>
    </w:p>
    <w:p w14:paraId="42C5F3E5" w14:textId="77777777" w:rsidR="00D53A7F" w:rsidRDefault="00D53A7F" w:rsidP="00210F1C">
      <w:pPr>
        <w:spacing w:after="0" w:line="240" w:lineRule="auto"/>
        <w:jc w:val="both"/>
        <w:rPr>
          <w:rFonts w:cstheme="minorHAnsi"/>
          <w:bCs/>
          <w:i/>
          <w:iCs/>
          <w:color w:val="000000"/>
          <w:bdr w:val="none" w:sz="0" w:space="0" w:color="auto" w:frame="1"/>
        </w:rPr>
      </w:pPr>
    </w:p>
    <w:p w14:paraId="5CFA90D5" w14:textId="77777777" w:rsidR="00D53A7F" w:rsidRDefault="00D53A7F" w:rsidP="00210F1C">
      <w:pPr>
        <w:spacing w:after="0" w:line="240" w:lineRule="auto"/>
        <w:jc w:val="both"/>
        <w:rPr>
          <w:rFonts w:cstheme="minorHAnsi"/>
          <w:bCs/>
          <w:i/>
          <w:iCs/>
          <w:color w:val="000000"/>
          <w:bdr w:val="none" w:sz="0" w:space="0" w:color="auto" w:frame="1"/>
        </w:rPr>
      </w:pPr>
    </w:p>
    <w:p w14:paraId="0E3FC465" w14:textId="77777777" w:rsidR="00D53A7F" w:rsidRDefault="00D53A7F" w:rsidP="00210F1C">
      <w:pPr>
        <w:spacing w:after="0" w:line="240" w:lineRule="auto"/>
        <w:jc w:val="both"/>
        <w:rPr>
          <w:rFonts w:cstheme="minorHAnsi"/>
          <w:bCs/>
          <w:i/>
          <w:iCs/>
          <w:color w:val="000000"/>
          <w:bdr w:val="none" w:sz="0" w:space="0" w:color="auto" w:frame="1"/>
        </w:rPr>
      </w:pPr>
    </w:p>
    <w:p w14:paraId="720DC81A" w14:textId="13932003" w:rsidR="00210F1C" w:rsidRPr="00210F1C" w:rsidRDefault="00210F1C" w:rsidP="00210F1C">
      <w:pPr>
        <w:spacing w:after="0" w:line="240" w:lineRule="auto"/>
        <w:jc w:val="both"/>
        <w:rPr>
          <w:rFonts w:cstheme="minorHAnsi"/>
          <w:bCs/>
          <w:color w:val="000000"/>
          <w:bdr w:val="none" w:sz="0" w:space="0" w:color="auto" w:frame="1"/>
        </w:rPr>
      </w:pPr>
      <w:r>
        <w:rPr>
          <w:rFonts w:cstheme="minorHAnsi"/>
          <w:bCs/>
          <w:i/>
          <w:iCs/>
          <w:color w:val="000000"/>
          <w:bdr w:val="none" w:sz="0" w:space="0" w:color="auto" w:frame="1"/>
        </w:rPr>
        <w:lastRenderedPageBreak/>
        <w:t xml:space="preserve">Razdelitev antibiotikov na </w:t>
      </w:r>
      <w:r w:rsidRPr="00210F1C">
        <w:rPr>
          <w:rFonts w:cstheme="minorHAnsi"/>
          <w:bCs/>
          <w:i/>
          <w:iCs/>
          <w:color w:val="000000"/>
          <w:bdr w:val="none" w:sz="0" w:space="0" w:color="auto" w:frame="1"/>
        </w:rPr>
        <w:t>široko- in ozkospektraln</w:t>
      </w:r>
      <w:r>
        <w:rPr>
          <w:rFonts w:cstheme="minorHAnsi"/>
          <w:bCs/>
          <w:i/>
          <w:iCs/>
          <w:color w:val="000000"/>
          <w:bdr w:val="none" w:sz="0" w:space="0" w:color="auto" w:frame="1"/>
        </w:rPr>
        <w:t>e po metodologiji ECDC</w:t>
      </w:r>
      <w:bookmarkEnd w:id="1"/>
    </w:p>
    <w:tbl>
      <w:tblPr>
        <w:tblW w:w="0" w:type="auto"/>
        <w:tblInd w:w="55" w:type="dxa"/>
        <w:tblCellMar>
          <w:left w:w="70" w:type="dxa"/>
          <w:right w:w="70" w:type="dxa"/>
        </w:tblCellMar>
        <w:tblLook w:val="04A0" w:firstRow="1" w:lastRow="0" w:firstColumn="1" w:lastColumn="0" w:noHBand="0" w:noVBand="1"/>
      </w:tblPr>
      <w:tblGrid>
        <w:gridCol w:w="781"/>
        <w:gridCol w:w="2614"/>
        <w:gridCol w:w="3196"/>
      </w:tblGrid>
      <w:tr w:rsidR="00210F1C" w:rsidRPr="00210F1C" w14:paraId="51096434" w14:textId="77777777" w:rsidTr="00A817CC">
        <w:trPr>
          <w:trHeight w:val="330"/>
        </w:trPr>
        <w:tc>
          <w:tcPr>
            <w:tcW w:w="0" w:type="auto"/>
            <w:tcBorders>
              <w:top w:val="single" w:sz="4" w:space="0" w:color="auto"/>
              <w:left w:val="single" w:sz="4" w:space="0" w:color="auto"/>
              <w:bottom w:val="single" w:sz="4" w:space="0" w:color="auto"/>
              <w:right w:val="single" w:sz="4" w:space="0" w:color="auto"/>
            </w:tcBorders>
            <w:vAlign w:val="center"/>
          </w:tcPr>
          <w:p w14:paraId="15C279DF" w14:textId="77777777" w:rsidR="00210F1C" w:rsidRPr="00A817CC" w:rsidRDefault="00210F1C" w:rsidP="00210F1C">
            <w:pPr>
              <w:spacing w:after="0" w:line="240" w:lineRule="auto"/>
              <w:jc w:val="both"/>
              <w:rPr>
                <w:rFonts w:cstheme="minorHAnsi"/>
                <w:b/>
                <w:bCs/>
                <w:color w:val="000000"/>
                <w:sz w:val="20"/>
                <w:bdr w:val="none" w:sz="0" w:space="0" w:color="auto" w:frame="1"/>
              </w:rPr>
            </w:pPr>
            <w:proofErr w:type="gramStart"/>
            <w:r w:rsidRPr="00A817CC">
              <w:rPr>
                <w:rFonts w:cstheme="minorHAnsi"/>
                <w:b/>
                <w:bCs/>
                <w:color w:val="000000"/>
                <w:sz w:val="20"/>
                <w:bdr w:val="none" w:sz="0" w:space="0" w:color="auto" w:frame="1"/>
              </w:rPr>
              <w:t>ATC J01</w:t>
            </w:r>
            <w:proofErr w:type="gramEnd"/>
            <w:r w:rsidRPr="00A817CC">
              <w:rPr>
                <w:rFonts w:cstheme="minorHAnsi"/>
                <w:b/>
                <w:bCs/>
                <w:color w:val="000000"/>
                <w:sz w:val="20"/>
                <w:bdr w:val="none" w:sz="0" w:space="0" w:color="auto" w:frame="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0D31" w14:textId="77777777" w:rsidR="00210F1C" w:rsidRPr="00A817CC" w:rsidRDefault="00210F1C" w:rsidP="00210F1C">
            <w:pPr>
              <w:spacing w:after="0" w:line="240" w:lineRule="auto"/>
              <w:jc w:val="both"/>
              <w:rPr>
                <w:rFonts w:cstheme="minorHAnsi"/>
                <w:b/>
                <w:bCs/>
                <w:color w:val="000000"/>
                <w:sz w:val="20"/>
                <w:bdr w:val="none" w:sz="0" w:space="0" w:color="auto" w:frame="1"/>
              </w:rPr>
            </w:pPr>
            <w:r w:rsidRPr="00A817CC">
              <w:rPr>
                <w:rFonts w:cstheme="minorHAnsi"/>
                <w:b/>
                <w:bCs/>
                <w:color w:val="000000"/>
                <w:sz w:val="20"/>
                <w:bdr w:val="none" w:sz="0" w:space="0" w:color="auto" w:frame="1"/>
              </w:rPr>
              <w:t>ŠIROKOSPEKTRALNI</w:t>
            </w:r>
          </w:p>
        </w:tc>
        <w:tc>
          <w:tcPr>
            <w:tcW w:w="0" w:type="auto"/>
            <w:tcBorders>
              <w:top w:val="single" w:sz="4" w:space="0" w:color="auto"/>
              <w:left w:val="single" w:sz="4" w:space="0" w:color="auto"/>
              <w:bottom w:val="single" w:sz="4" w:space="0" w:color="auto"/>
              <w:right w:val="single" w:sz="4" w:space="0" w:color="auto"/>
            </w:tcBorders>
            <w:vAlign w:val="center"/>
          </w:tcPr>
          <w:p w14:paraId="4268FEF2" w14:textId="77777777" w:rsidR="00210F1C" w:rsidRPr="00A817CC" w:rsidRDefault="00210F1C" w:rsidP="00210F1C">
            <w:pPr>
              <w:spacing w:after="0" w:line="240" w:lineRule="auto"/>
              <w:jc w:val="both"/>
              <w:rPr>
                <w:rFonts w:cstheme="minorHAnsi"/>
                <w:b/>
                <w:bCs/>
                <w:color w:val="000000"/>
                <w:sz w:val="20"/>
                <w:bdr w:val="none" w:sz="0" w:space="0" w:color="auto" w:frame="1"/>
              </w:rPr>
            </w:pPr>
            <w:r w:rsidRPr="00A817CC">
              <w:rPr>
                <w:rFonts w:cstheme="minorHAnsi"/>
                <w:b/>
                <w:bCs/>
                <w:color w:val="000000"/>
                <w:sz w:val="20"/>
                <w:bdr w:val="none" w:sz="0" w:space="0" w:color="auto" w:frame="1"/>
              </w:rPr>
              <w:t>učinkovine</w:t>
            </w:r>
          </w:p>
        </w:tc>
      </w:tr>
      <w:tr w:rsidR="00210F1C" w:rsidRPr="00210F1C" w14:paraId="2889525A"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7055F402"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7ED7C1"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amoksicilin/klavulanska kislina</w:t>
            </w:r>
          </w:p>
        </w:tc>
        <w:tc>
          <w:tcPr>
            <w:tcW w:w="0" w:type="auto"/>
            <w:tcBorders>
              <w:top w:val="nil"/>
              <w:left w:val="single" w:sz="4" w:space="0" w:color="auto"/>
              <w:bottom w:val="single" w:sz="4" w:space="0" w:color="auto"/>
              <w:right w:val="single" w:sz="4" w:space="0" w:color="auto"/>
            </w:tcBorders>
            <w:vAlign w:val="center"/>
          </w:tcPr>
          <w:p w14:paraId="1927D7AA"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amoksicilin/klavulanska kislina</w:t>
            </w:r>
          </w:p>
        </w:tc>
      </w:tr>
      <w:tr w:rsidR="00210F1C" w:rsidRPr="00210F1C" w14:paraId="38C9FE7F"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37290603"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DC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86739"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cefalosporini 2. generacije</w:t>
            </w:r>
          </w:p>
        </w:tc>
        <w:tc>
          <w:tcPr>
            <w:tcW w:w="0" w:type="auto"/>
            <w:tcBorders>
              <w:top w:val="nil"/>
              <w:left w:val="single" w:sz="4" w:space="0" w:color="auto"/>
              <w:bottom w:val="single" w:sz="4" w:space="0" w:color="auto"/>
              <w:right w:val="single" w:sz="4" w:space="0" w:color="auto"/>
            </w:tcBorders>
            <w:vAlign w:val="center"/>
          </w:tcPr>
          <w:p w14:paraId="77FCD024"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iCs/>
                <w:color w:val="000000"/>
                <w:sz w:val="20"/>
                <w:bdr w:val="none" w:sz="0" w:space="0" w:color="auto" w:frame="1"/>
              </w:rPr>
              <w:t>cefuroksim, cefaklor, cefprozil</w:t>
            </w:r>
          </w:p>
        </w:tc>
      </w:tr>
      <w:tr w:rsidR="00210F1C" w:rsidRPr="00210F1C" w14:paraId="01C5A15A"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38352D12"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DD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EEAB2"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cefalosporini 3. generacije</w:t>
            </w:r>
          </w:p>
        </w:tc>
        <w:tc>
          <w:tcPr>
            <w:tcW w:w="0" w:type="auto"/>
            <w:tcBorders>
              <w:top w:val="nil"/>
              <w:left w:val="single" w:sz="4" w:space="0" w:color="auto"/>
              <w:bottom w:val="single" w:sz="4" w:space="0" w:color="auto"/>
              <w:right w:val="single" w:sz="4" w:space="0" w:color="auto"/>
            </w:tcBorders>
            <w:vAlign w:val="center"/>
          </w:tcPr>
          <w:p w14:paraId="364EA2BB"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cefiksim, ceftibuten</w:t>
            </w:r>
          </w:p>
        </w:tc>
      </w:tr>
      <w:tr w:rsidR="00210F1C" w:rsidRPr="00210F1C" w14:paraId="5EDFD959"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15CB9CC4"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9BEFB"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makrolidi in linkozamidi</w:t>
            </w:r>
          </w:p>
        </w:tc>
        <w:tc>
          <w:tcPr>
            <w:tcW w:w="0" w:type="auto"/>
            <w:tcBorders>
              <w:top w:val="nil"/>
              <w:left w:val="single" w:sz="4" w:space="0" w:color="auto"/>
              <w:bottom w:val="single" w:sz="4" w:space="0" w:color="auto"/>
              <w:right w:val="single" w:sz="4" w:space="0" w:color="auto"/>
            </w:tcBorders>
            <w:vAlign w:val="center"/>
          </w:tcPr>
          <w:p w14:paraId="0B30815F"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klaritromicin, azitromicin, klindamicin</w:t>
            </w:r>
          </w:p>
        </w:tc>
      </w:tr>
      <w:tr w:rsidR="00210F1C" w:rsidRPr="00210F1C" w14:paraId="3C4F4423" w14:textId="77777777" w:rsidTr="00A817CC">
        <w:trPr>
          <w:trHeight w:val="330"/>
        </w:trPr>
        <w:tc>
          <w:tcPr>
            <w:tcW w:w="0" w:type="auto"/>
            <w:tcBorders>
              <w:top w:val="nil"/>
              <w:left w:val="single" w:sz="4" w:space="0" w:color="auto"/>
              <w:bottom w:val="single" w:sz="4" w:space="0" w:color="auto"/>
              <w:right w:val="single" w:sz="4" w:space="0" w:color="auto"/>
            </w:tcBorders>
            <w:vAlign w:val="center"/>
          </w:tcPr>
          <w:p w14:paraId="4CA2223E" w14:textId="77777777" w:rsidR="00210F1C" w:rsidRPr="00A817CC" w:rsidRDefault="00210F1C" w:rsidP="00210F1C">
            <w:pPr>
              <w:spacing w:after="0" w:line="240" w:lineRule="auto"/>
              <w:jc w:val="both"/>
              <w:rPr>
                <w:rFonts w:cstheme="minorHAnsi"/>
                <w:b/>
                <w:bCs/>
                <w:color w:val="000000"/>
                <w:sz w:val="20"/>
                <w:bdr w:val="none" w:sz="0" w:space="0" w:color="auto" w:frame="1"/>
              </w:rPr>
            </w:pPr>
            <w:r w:rsidRPr="00A817CC">
              <w:rPr>
                <w:rFonts w:cstheme="minorHAnsi"/>
                <w:b/>
                <w:bCs/>
                <w:color w:val="000000"/>
                <w:sz w:val="20"/>
                <w:bdr w:val="none" w:sz="0" w:space="0" w:color="auto" w:frame="1"/>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8887B" w14:textId="77777777" w:rsidR="00210F1C" w:rsidRPr="00A817CC" w:rsidRDefault="00210F1C" w:rsidP="00210F1C">
            <w:pPr>
              <w:spacing w:after="0" w:line="240" w:lineRule="auto"/>
              <w:jc w:val="both"/>
              <w:rPr>
                <w:rFonts w:cstheme="minorHAnsi"/>
                <w:b/>
                <w:bCs/>
                <w:color w:val="000000"/>
                <w:sz w:val="20"/>
                <w:bdr w:val="none" w:sz="0" w:space="0" w:color="auto" w:frame="1"/>
              </w:rPr>
            </w:pPr>
            <w:r w:rsidRPr="00A817CC">
              <w:rPr>
                <w:rFonts w:cstheme="minorHAnsi"/>
                <w:b/>
                <w:bCs/>
                <w:color w:val="000000"/>
                <w:sz w:val="20"/>
                <w:bdr w:val="none" w:sz="0" w:space="0" w:color="auto" w:frame="1"/>
              </w:rPr>
              <w:t>OZKOSPEKTRALNI</w:t>
            </w:r>
          </w:p>
        </w:tc>
        <w:tc>
          <w:tcPr>
            <w:tcW w:w="0" w:type="auto"/>
            <w:tcBorders>
              <w:top w:val="nil"/>
              <w:left w:val="single" w:sz="4" w:space="0" w:color="auto"/>
              <w:bottom w:val="single" w:sz="4" w:space="0" w:color="auto"/>
              <w:right w:val="single" w:sz="4" w:space="0" w:color="auto"/>
            </w:tcBorders>
            <w:vAlign w:val="center"/>
          </w:tcPr>
          <w:p w14:paraId="796895FF" w14:textId="77777777" w:rsidR="00210F1C" w:rsidRPr="00A817CC" w:rsidRDefault="00210F1C" w:rsidP="00210F1C">
            <w:pPr>
              <w:spacing w:after="0" w:line="240" w:lineRule="auto"/>
              <w:jc w:val="both"/>
              <w:rPr>
                <w:rFonts w:cstheme="minorHAnsi"/>
                <w:b/>
                <w:bCs/>
                <w:color w:val="000000"/>
                <w:sz w:val="20"/>
                <w:bdr w:val="none" w:sz="0" w:space="0" w:color="auto" w:frame="1"/>
              </w:rPr>
            </w:pPr>
          </w:p>
        </w:tc>
      </w:tr>
      <w:tr w:rsidR="00210F1C" w:rsidRPr="00210F1C" w14:paraId="0065C2A3"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47F5BDDE"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81CE9B"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fenoksimetilpenicilin</w:t>
            </w:r>
          </w:p>
        </w:tc>
        <w:tc>
          <w:tcPr>
            <w:tcW w:w="0" w:type="auto"/>
            <w:tcBorders>
              <w:top w:val="nil"/>
              <w:left w:val="single" w:sz="4" w:space="0" w:color="auto"/>
              <w:bottom w:val="single" w:sz="4" w:space="0" w:color="auto"/>
              <w:right w:val="single" w:sz="4" w:space="0" w:color="auto"/>
            </w:tcBorders>
            <w:vAlign w:val="center"/>
          </w:tcPr>
          <w:p w14:paraId="43DFEBCC"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fenoksimetilpenicilin</w:t>
            </w:r>
          </w:p>
        </w:tc>
      </w:tr>
      <w:tr w:rsidR="00210F1C" w:rsidRPr="00210F1C" w14:paraId="2A61494C"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5AE88C4E"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DB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B62CE"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cefalosporini 1. generacije</w:t>
            </w:r>
          </w:p>
        </w:tc>
        <w:tc>
          <w:tcPr>
            <w:tcW w:w="0" w:type="auto"/>
            <w:tcBorders>
              <w:top w:val="nil"/>
              <w:left w:val="single" w:sz="4" w:space="0" w:color="auto"/>
              <w:bottom w:val="single" w:sz="4" w:space="0" w:color="auto"/>
              <w:right w:val="single" w:sz="4" w:space="0" w:color="auto"/>
            </w:tcBorders>
            <w:vAlign w:val="center"/>
          </w:tcPr>
          <w:p w14:paraId="1AEA523A"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cefadroksil</w:t>
            </w:r>
          </w:p>
        </w:tc>
      </w:tr>
      <w:tr w:rsidR="00210F1C" w:rsidRPr="00210F1C" w14:paraId="4937B978"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7145B45C"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FA01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51FC4"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eritromicin</w:t>
            </w:r>
          </w:p>
        </w:tc>
        <w:tc>
          <w:tcPr>
            <w:tcW w:w="0" w:type="auto"/>
            <w:tcBorders>
              <w:top w:val="nil"/>
              <w:left w:val="single" w:sz="4" w:space="0" w:color="auto"/>
              <w:bottom w:val="single" w:sz="4" w:space="0" w:color="auto"/>
              <w:right w:val="single" w:sz="4" w:space="0" w:color="auto"/>
            </w:tcBorders>
            <w:vAlign w:val="center"/>
          </w:tcPr>
          <w:p w14:paraId="1D405CE0"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 xml:space="preserve">eritromicin </w:t>
            </w:r>
          </w:p>
        </w:tc>
      </w:tr>
      <w:tr w:rsidR="00210F1C" w:rsidRPr="00210F1C" w14:paraId="4174261C"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79D2FDFE"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FA03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66EB77"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midekamicin</w:t>
            </w:r>
          </w:p>
        </w:tc>
        <w:tc>
          <w:tcPr>
            <w:tcW w:w="0" w:type="auto"/>
            <w:tcBorders>
              <w:top w:val="nil"/>
              <w:left w:val="single" w:sz="4" w:space="0" w:color="auto"/>
              <w:bottom w:val="single" w:sz="4" w:space="0" w:color="auto"/>
              <w:right w:val="single" w:sz="4" w:space="0" w:color="auto"/>
            </w:tcBorders>
            <w:vAlign w:val="center"/>
          </w:tcPr>
          <w:p w14:paraId="3D64072D"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midekamicin - tablete</w:t>
            </w:r>
          </w:p>
        </w:tc>
      </w:tr>
      <w:tr w:rsidR="00210F1C" w:rsidRPr="00210F1C" w14:paraId="4ACE285A" w14:textId="77777777" w:rsidTr="00A817CC">
        <w:trPr>
          <w:trHeight w:val="315"/>
        </w:trPr>
        <w:tc>
          <w:tcPr>
            <w:tcW w:w="0" w:type="auto"/>
            <w:tcBorders>
              <w:top w:val="nil"/>
              <w:left w:val="single" w:sz="4" w:space="0" w:color="auto"/>
              <w:bottom w:val="single" w:sz="4" w:space="0" w:color="auto"/>
              <w:right w:val="single" w:sz="4" w:space="0" w:color="auto"/>
            </w:tcBorders>
            <w:vAlign w:val="center"/>
          </w:tcPr>
          <w:p w14:paraId="1FE6D511"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FA11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8BF4B"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miokamicin</w:t>
            </w:r>
          </w:p>
        </w:tc>
        <w:tc>
          <w:tcPr>
            <w:tcW w:w="0" w:type="auto"/>
            <w:tcBorders>
              <w:top w:val="nil"/>
              <w:left w:val="single" w:sz="4" w:space="0" w:color="auto"/>
              <w:bottom w:val="single" w:sz="4" w:space="0" w:color="auto"/>
              <w:right w:val="single" w:sz="4" w:space="0" w:color="auto"/>
            </w:tcBorders>
            <w:vAlign w:val="center"/>
          </w:tcPr>
          <w:p w14:paraId="1A1FA373" w14:textId="77777777" w:rsidR="00210F1C" w:rsidRPr="00A817CC" w:rsidRDefault="00210F1C" w:rsidP="00210F1C">
            <w:pPr>
              <w:spacing w:after="0" w:line="240" w:lineRule="auto"/>
              <w:jc w:val="both"/>
              <w:rPr>
                <w:rFonts w:cstheme="minorHAnsi"/>
                <w:bCs/>
                <w:color w:val="000000"/>
                <w:sz w:val="20"/>
                <w:bdr w:val="none" w:sz="0" w:space="0" w:color="auto" w:frame="1"/>
              </w:rPr>
            </w:pPr>
            <w:r w:rsidRPr="00A817CC">
              <w:rPr>
                <w:rFonts w:cstheme="minorHAnsi"/>
                <w:bCs/>
                <w:color w:val="000000"/>
                <w:sz w:val="20"/>
                <w:bdr w:val="none" w:sz="0" w:space="0" w:color="auto" w:frame="1"/>
              </w:rPr>
              <w:t>miokamicin - sirup</w:t>
            </w:r>
          </w:p>
        </w:tc>
      </w:tr>
    </w:tbl>
    <w:p w14:paraId="61EED9AA" w14:textId="77777777" w:rsidR="00210F1C" w:rsidRDefault="00210F1C" w:rsidP="00F901EE">
      <w:pPr>
        <w:spacing w:after="0" w:line="240" w:lineRule="auto"/>
        <w:jc w:val="both"/>
        <w:rPr>
          <w:rFonts w:cstheme="minorHAnsi"/>
          <w:bCs/>
          <w:color w:val="000000"/>
          <w:bdr w:val="none" w:sz="0" w:space="0" w:color="auto" w:frame="1"/>
        </w:rPr>
      </w:pPr>
    </w:p>
    <w:p w14:paraId="5E3D3F18" w14:textId="1D8CA325" w:rsidR="00EE1AEA" w:rsidRDefault="00EE1AEA"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002B0017" w:rsidRPr="002B0017">
        <w:rPr>
          <w:rFonts w:cstheme="minorHAnsi"/>
          <w:bCs/>
          <w:i/>
          <w:iCs/>
          <w:color w:val="000000"/>
          <w:bdr w:val="none" w:sz="0" w:space="0" w:color="auto" w:frame="1"/>
        </w:rPr>
        <w:t>Zbirni podatki o predpisovanju antibiotikov</w:t>
      </w:r>
      <w:r w:rsidR="004C3EC5">
        <w:rPr>
          <w:rFonts w:cstheme="minorHAnsi"/>
          <w:bCs/>
          <w:color w:val="000000"/>
          <w:bdr w:val="none" w:sz="0" w:space="0" w:color="auto" w:frame="1"/>
        </w:rPr>
        <w:t xml:space="preserve"> </w:t>
      </w:r>
      <w:r>
        <w:rPr>
          <w:rFonts w:cstheme="minorHAnsi"/>
          <w:bCs/>
          <w:color w:val="000000"/>
          <w:bdr w:val="none" w:sz="0" w:space="0" w:color="auto" w:frame="1"/>
        </w:rPr>
        <w:t xml:space="preserve">so prikazani podatki o </w:t>
      </w:r>
      <w:r w:rsidR="00BF3B3C">
        <w:rPr>
          <w:rFonts w:cstheme="minorHAnsi"/>
          <w:bCs/>
          <w:color w:val="000000"/>
          <w:bdr w:val="none" w:sz="0" w:space="0" w:color="auto" w:frame="1"/>
        </w:rPr>
        <w:t xml:space="preserve">njihovem </w:t>
      </w:r>
      <w:r>
        <w:rPr>
          <w:rFonts w:cstheme="minorHAnsi"/>
          <w:bCs/>
          <w:color w:val="000000"/>
          <w:bdr w:val="none" w:sz="0" w:space="0" w:color="auto" w:frame="1"/>
        </w:rPr>
        <w:t>predpisovanju v zadnjih 5 letih: število oseb, število receptov in poraba v št. DDD.</w:t>
      </w:r>
      <w:r w:rsidR="007A7E81">
        <w:rPr>
          <w:rFonts w:cstheme="minorHAnsi"/>
          <w:bCs/>
          <w:color w:val="000000"/>
          <w:bdr w:val="none" w:sz="0" w:space="0" w:color="auto" w:frame="1"/>
        </w:rPr>
        <w:t xml:space="preserve"> Vsaka oseba se šteje le enkrat</w:t>
      </w:r>
      <w:r w:rsidR="001A1415">
        <w:rPr>
          <w:rFonts w:cstheme="minorHAnsi"/>
          <w:bCs/>
          <w:color w:val="000000"/>
          <w:bdr w:val="none" w:sz="0" w:space="0" w:color="auto" w:frame="1"/>
        </w:rPr>
        <w:t xml:space="preserve"> v posameznem letu</w:t>
      </w:r>
      <w:r w:rsidR="007A7E81">
        <w:rPr>
          <w:rFonts w:cstheme="minorHAnsi"/>
          <w:bCs/>
          <w:color w:val="000000"/>
          <w:bdr w:val="none" w:sz="0" w:space="0" w:color="auto" w:frame="1"/>
        </w:rPr>
        <w:t>.</w:t>
      </w:r>
    </w:p>
    <w:p w14:paraId="32D9558B" w14:textId="77777777" w:rsidR="008F7FDF" w:rsidRPr="00674902" w:rsidRDefault="008F7FDF" w:rsidP="00EE1AEA">
      <w:pPr>
        <w:spacing w:after="0" w:line="240" w:lineRule="auto"/>
        <w:rPr>
          <w:rFonts w:cstheme="minorHAnsi"/>
          <w:bCs/>
          <w:color w:val="000000"/>
          <w:sz w:val="10"/>
          <w:szCs w:val="10"/>
          <w:bdr w:val="none" w:sz="0" w:space="0" w:color="auto" w:frame="1"/>
        </w:rPr>
      </w:pPr>
    </w:p>
    <w:p w14:paraId="1B1398EC" w14:textId="100CFB26" w:rsidR="001A1415" w:rsidRDefault="00674902"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674902">
        <w:rPr>
          <w:rFonts w:cstheme="minorHAnsi"/>
          <w:bCs/>
          <w:i/>
          <w:iCs/>
          <w:color w:val="000000"/>
          <w:bdr w:val="none" w:sz="0" w:space="0" w:color="auto" w:frame="1"/>
        </w:rPr>
        <w:t xml:space="preserve">Predpisovanje antibiotikov po </w:t>
      </w:r>
      <w:proofErr w:type="gramStart"/>
      <w:r w:rsidRPr="00674902">
        <w:rPr>
          <w:rFonts w:cstheme="minorHAnsi"/>
          <w:bCs/>
          <w:i/>
          <w:iCs/>
          <w:color w:val="000000"/>
          <w:bdr w:val="none" w:sz="0" w:space="0" w:color="auto" w:frame="1"/>
        </w:rPr>
        <w:t>ATC šifrah</w:t>
      </w:r>
      <w:proofErr w:type="gramEnd"/>
      <w:r w:rsidRPr="00674902">
        <w:rPr>
          <w:rFonts w:cstheme="minorHAnsi"/>
          <w:bCs/>
          <w:i/>
          <w:iCs/>
          <w:color w:val="000000"/>
          <w:bdr w:val="none" w:sz="0" w:space="0" w:color="auto" w:frame="1"/>
        </w:rPr>
        <w:t xml:space="preserve"> v letu …</w:t>
      </w:r>
      <w:r>
        <w:rPr>
          <w:rFonts w:cstheme="minorHAnsi"/>
          <w:bCs/>
          <w:color w:val="000000"/>
          <w:bdr w:val="none" w:sz="0" w:space="0" w:color="auto" w:frame="1"/>
        </w:rPr>
        <w:t xml:space="preserve"> so </w:t>
      </w:r>
      <w:r w:rsidR="001A1415">
        <w:rPr>
          <w:rFonts w:cstheme="minorHAnsi"/>
          <w:bCs/>
          <w:color w:val="000000"/>
          <w:bdr w:val="none" w:sz="0" w:space="0" w:color="auto" w:frame="1"/>
        </w:rPr>
        <w:t>p</w:t>
      </w:r>
      <w:r w:rsidR="001A1415" w:rsidRPr="00AF74DE">
        <w:rPr>
          <w:rFonts w:cstheme="minorHAnsi"/>
          <w:bCs/>
          <w:color w:val="000000"/>
          <w:bdr w:val="none" w:sz="0" w:space="0" w:color="auto" w:frame="1"/>
        </w:rPr>
        <w:t xml:space="preserve">rikazani podatki </w:t>
      </w:r>
      <w:r w:rsidR="002E43ED">
        <w:rPr>
          <w:rFonts w:cstheme="minorHAnsi"/>
          <w:bCs/>
          <w:color w:val="000000"/>
          <w:bdr w:val="none" w:sz="0" w:space="0" w:color="auto" w:frame="1"/>
        </w:rPr>
        <w:t xml:space="preserve">po posameznih </w:t>
      </w:r>
      <w:proofErr w:type="gramStart"/>
      <w:r w:rsidR="002E43ED">
        <w:rPr>
          <w:rFonts w:cstheme="minorHAnsi"/>
          <w:bCs/>
          <w:color w:val="000000"/>
          <w:bdr w:val="none" w:sz="0" w:space="0" w:color="auto" w:frame="1"/>
        </w:rPr>
        <w:t>ATC šifrah</w:t>
      </w:r>
      <w:proofErr w:type="gramEnd"/>
      <w:r w:rsidR="002E43ED">
        <w:rPr>
          <w:rFonts w:cstheme="minorHAnsi"/>
          <w:bCs/>
          <w:color w:val="000000"/>
          <w:bdr w:val="none" w:sz="0" w:space="0" w:color="auto" w:frame="1"/>
        </w:rPr>
        <w:t xml:space="preserve"> oz. učinkovinah </w:t>
      </w:r>
      <w:r w:rsidR="001A1415">
        <w:rPr>
          <w:rFonts w:cstheme="minorHAnsi"/>
          <w:bCs/>
          <w:color w:val="000000"/>
          <w:bdr w:val="none" w:sz="0" w:space="0" w:color="auto" w:frame="1"/>
        </w:rPr>
        <w:t xml:space="preserve">v </w:t>
      </w:r>
      <w:r w:rsidR="001A1415" w:rsidRPr="00AF74DE">
        <w:rPr>
          <w:rFonts w:cstheme="minorHAnsi"/>
          <w:bCs/>
          <w:color w:val="000000"/>
          <w:bdr w:val="none" w:sz="0" w:space="0" w:color="auto" w:frame="1"/>
        </w:rPr>
        <w:t>zadnje</w:t>
      </w:r>
      <w:r w:rsidR="001A1415">
        <w:rPr>
          <w:rFonts w:cstheme="minorHAnsi"/>
          <w:bCs/>
          <w:color w:val="000000"/>
          <w:bdr w:val="none" w:sz="0" w:space="0" w:color="auto" w:frame="1"/>
        </w:rPr>
        <w:t>m</w:t>
      </w:r>
      <w:r w:rsidR="001A1415" w:rsidRPr="00AF74DE">
        <w:rPr>
          <w:rFonts w:cstheme="minorHAnsi"/>
          <w:bCs/>
          <w:color w:val="000000"/>
          <w:bdr w:val="none" w:sz="0" w:space="0" w:color="auto" w:frame="1"/>
        </w:rPr>
        <w:t xml:space="preserve"> let</w:t>
      </w:r>
      <w:r w:rsidR="001A1415">
        <w:rPr>
          <w:rFonts w:cstheme="minorHAnsi"/>
          <w:bCs/>
          <w:color w:val="000000"/>
          <w:bdr w:val="none" w:sz="0" w:space="0" w:color="auto" w:frame="1"/>
        </w:rPr>
        <w:t>u</w:t>
      </w:r>
      <w:r w:rsidR="00B72638">
        <w:rPr>
          <w:rFonts w:cstheme="minorHAnsi"/>
          <w:bCs/>
          <w:color w:val="000000"/>
          <w:bdr w:val="none" w:sz="0" w:space="0" w:color="auto" w:frame="1"/>
        </w:rPr>
        <w:t xml:space="preserve">: število </w:t>
      </w:r>
      <w:r w:rsidR="00454A76">
        <w:rPr>
          <w:rFonts w:cstheme="minorHAnsi"/>
          <w:bCs/>
          <w:color w:val="000000"/>
          <w:bdr w:val="none" w:sz="0" w:space="0" w:color="auto" w:frame="1"/>
        </w:rPr>
        <w:t>oseb, število receptov</w:t>
      </w:r>
      <w:r w:rsidR="002E43ED">
        <w:rPr>
          <w:rFonts w:cstheme="minorHAnsi"/>
          <w:bCs/>
          <w:color w:val="000000"/>
          <w:bdr w:val="none" w:sz="0" w:space="0" w:color="auto" w:frame="1"/>
        </w:rPr>
        <w:t xml:space="preserve"> ter</w:t>
      </w:r>
      <w:r w:rsidR="00454A76">
        <w:rPr>
          <w:rFonts w:cstheme="minorHAnsi"/>
          <w:bCs/>
          <w:color w:val="000000"/>
          <w:bdr w:val="none" w:sz="0" w:space="0" w:color="auto" w:frame="1"/>
        </w:rPr>
        <w:t xml:space="preserve"> poraba v številu DDD</w:t>
      </w:r>
      <w:r w:rsidR="002E43ED">
        <w:rPr>
          <w:rFonts w:cstheme="minorHAnsi"/>
          <w:bCs/>
          <w:color w:val="000000"/>
          <w:bdr w:val="none" w:sz="0" w:space="0" w:color="auto" w:frame="1"/>
        </w:rPr>
        <w:t xml:space="preserve"> in odstotnih deležih (% DDD)</w:t>
      </w:r>
      <w:r w:rsidR="00454A76">
        <w:rPr>
          <w:rFonts w:cstheme="minorHAnsi"/>
          <w:bCs/>
          <w:color w:val="000000"/>
          <w:bdr w:val="none" w:sz="0" w:space="0" w:color="auto" w:frame="1"/>
        </w:rPr>
        <w:t xml:space="preserve">. </w:t>
      </w:r>
      <w:r w:rsidR="001A1415" w:rsidRPr="00AF74DE">
        <w:rPr>
          <w:rFonts w:cstheme="minorHAnsi"/>
          <w:bCs/>
          <w:color w:val="000000"/>
          <w:bdr w:val="none" w:sz="0" w:space="0" w:color="auto" w:frame="1"/>
        </w:rPr>
        <w:t xml:space="preserve"> </w:t>
      </w:r>
      <w:r w:rsidR="001A1415">
        <w:rPr>
          <w:rFonts w:cstheme="minorHAnsi"/>
          <w:bCs/>
          <w:color w:val="000000"/>
          <w:bdr w:val="none" w:sz="0" w:space="0" w:color="auto" w:frame="1"/>
        </w:rPr>
        <w:t xml:space="preserve"> </w:t>
      </w:r>
    </w:p>
    <w:p w14:paraId="3FBCAD83" w14:textId="77777777" w:rsidR="00010DF1" w:rsidRDefault="00010DF1" w:rsidP="00A6766C">
      <w:pPr>
        <w:spacing w:after="0" w:line="240" w:lineRule="auto"/>
        <w:rPr>
          <w:rFonts w:cstheme="minorHAnsi"/>
          <w:b/>
          <w:bCs/>
          <w:color w:val="000000"/>
          <w:bdr w:val="none" w:sz="0" w:space="0" w:color="auto" w:frame="1"/>
        </w:rPr>
      </w:pPr>
    </w:p>
    <w:p w14:paraId="4459619E" w14:textId="4845E839" w:rsidR="0066042A" w:rsidRDefault="00F901EE" w:rsidP="00A6766C">
      <w:pPr>
        <w:spacing w:after="0" w:line="240" w:lineRule="auto"/>
        <w:rPr>
          <w:rFonts w:cstheme="minorHAnsi"/>
          <w:b/>
          <w:bCs/>
          <w:color w:val="000000"/>
          <w:bdr w:val="none" w:sz="0" w:space="0" w:color="auto" w:frame="1"/>
        </w:rPr>
      </w:pPr>
      <w:r w:rsidRPr="007809E9">
        <w:rPr>
          <w:rFonts w:cstheme="minorHAnsi"/>
          <w:b/>
          <w:bCs/>
          <w:color w:val="000000"/>
          <w:sz w:val="24"/>
          <w:bdr w:val="none" w:sz="0" w:space="0" w:color="auto" w:frame="1"/>
        </w:rPr>
        <w:t xml:space="preserve">2.3. </w:t>
      </w:r>
      <w:r w:rsidR="00FF5A29">
        <w:rPr>
          <w:rFonts w:cstheme="minorHAnsi"/>
          <w:b/>
          <w:bCs/>
          <w:color w:val="000000"/>
          <w:sz w:val="24"/>
          <w:bdr w:val="none" w:sz="0" w:space="0" w:color="auto" w:frame="1"/>
        </w:rPr>
        <w:t>A</w:t>
      </w:r>
      <w:r w:rsidR="0066042A" w:rsidRPr="007809E9">
        <w:rPr>
          <w:rFonts w:cstheme="minorHAnsi"/>
          <w:b/>
          <w:bCs/>
          <w:color w:val="000000"/>
          <w:sz w:val="24"/>
          <w:bdr w:val="none" w:sz="0" w:space="0" w:color="auto" w:frame="1"/>
        </w:rPr>
        <w:t>nksiolitik</w:t>
      </w:r>
      <w:r w:rsidR="00FF5A29">
        <w:rPr>
          <w:rFonts w:cstheme="minorHAnsi"/>
          <w:b/>
          <w:bCs/>
          <w:color w:val="000000"/>
          <w:sz w:val="24"/>
          <w:bdr w:val="none" w:sz="0" w:space="0" w:color="auto" w:frame="1"/>
        </w:rPr>
        <w:t>i</w:t>
      </w:r>
      <w:r w:rsidR="0066042A" w:rsidRPr="007809E9">
        <w:rPr>
          <w:rFonts w:cstheme="minorHAnsi"/>
          <w:b/>
          <w:bCs/>
          <w:color w:val="000000"/>
          <w:sz w:val="24"/>
          <w:bdr w:val="none" w:sz="0" w:space="0" w:color="auto" w:frame="1"/>
        </w:rPr>
        <w:t xml:space="preserve"> in hipnotik</w:t>
      </w:r>
      <w:r w:rsidR="00FF5A29">
        <w:rPr>
          <w:rFonts w:cstheme="minorHAnsi"/>
          <w:b/>
          <w:bCs/>
          <w:color w:val="000000"/>
          <w:sz w:val="24"/>
          <w:bdr w:val="none" w:sz="0" w:space="0" w:color="auto" w:frame="1"/>
        </w:rPr>
        <w:t>i/</w:t>
      </w:r>
      <w:proofErr w:type="gramStart"/>
      <w:r w:rsidR="00FF5A29">
        <w:rPr>
          <w:rFonts w:cstheme="minorHAnsi"/>
          <w:b/>
          <w:bCs/>
          <w:color w:val="000000"/>
          <w:sz w:val="24"/>
          <w:bdr w:val="none" w:sz="0" w:space="0" w:color="auto" w:frame="1"/>
        </w:rPr>
        <w:t>sedativi</w:t>
      </w:r>
      <w:proofErr w:type="gramEnd"/>
    </w:p>
    <w:p w14:paraId="3402BADF" w14:textId="77777777" w:rsidR="0066042A" w:rsidRDefault="0066042A" w:rsidP="00A6766C">
      <w:pPr>
        <w:spacing w:after="0" w:line="240" w:lineRule="auto"/>
        <w:rPr>
          <w:rFonts w:cstheme="minorHAnsi"/>
          <w:b/>
          <w:bCs/>
          <w:color w:val="000000"/>
          <w:bdr w:val="none" w:sz="0" w:space="0" w:color="auto" w:frame="1"/>
        </w:rPr>
      </w:pPr>
    </w:p>
    <w:p w14:paraId="67C7D9FF" w14:textId="094B6FC9" w:rsidR="00F901EE" w:rsidRPr="00F901EE" w:rsidRDefault="00F901EE" w:rsidP="00F901EE">
      <w:pPr>
        <w:spacing w:after="0" w:line="240" w:lineRule="auto"/>
        <w:rPr>
          <w:rFonts w:cstheme="minorHAnsi"/>
          <w:bCs/>
          <w:color w:val="000000"/>
          <w:u w:val="single"/>
          <w:bdr w:val="none" w:sz="0" w:space="0" w:color="auto" w:frame="1"/>
        </w:rPr>
      </w:pPr>
      <w:r w:rsidRPr="00F901EE">
        <w:rPr>
          <w:rFonts w:cstheme="minorHAnsi"/>
          <w:bCs/>
          <w:color w:val="000000"/>
          <w:u w:val="single"/>
          <w:bdr w:val="none" w:sz="0" w:space="0" w:color="auto" w:frame="1"/>
        </w:rPr>
        <w:t xml:space="preserve">KK6 – </w:t>
      </w:r>
      <w:proofErr w:type="gramStart"/>
      <w:r w:rsidRPr="00F901EE">
        <w:rPr>
          <w:rFonts w:cstheme="minorHAnsi"/>
          <w:bCs/>
          <w:color w:val="000000"/>
          <w:u w:val="single"/>
          <w:bdr w:val="none" w:sz="0" w:space="0" w:color="auto" w:frame="1"/>
        </w:rPr>
        <w:t>prevalenca</w:t>
      </w:r>
      <w:proofErr w:type="gramEnd"/>
      <w:r w:rsidRPr="00F901EE">
        <w:rPr>
          <w:rFonts w:cstheme="minorHAnsi"/>
          <w:bCs/>
          <w:color w:val="000000"/>
          <w:u w:val="single"/>
          <w:bdr w:val="none" w:sz="0" w:space="0" w:color="auto" w:frame="1"/>
        </w:rPr>
        <w:t xml:space="preserve"> prejemnikov anksiolitikov in hipnotikov</w:t>
      </w:r>
      <w:r w:rsidR="00FF5A29">
        <w:rPr>
          <w:rFonts w:cstheme="minorHAnsi"/>
          <w:bCs/>
          <w:color w:val="000000"/>
          <w:u w:val="single"/>
          <w:bdr w:val="none" w:sz="0" w:space="0" w:color="auto" w:frame="1"/>
        </w:rPr>
        <w:t>/sedativov</w:t>
      </w:r>
    </w:p>
    <w:p w14:paraId="7902F56F" w14:textId="7A13E7B2" w:rsidR="00F901EE" w:rsidRPr="00F901EE" w:rsidRDefault="00F901EE" w:rsidP="00AF74DE">
      <w:pPr>
        <w:spacing w:after="0" w:line="240" w:lineRule="auto"/>
        <w:jc w:val="both"/>
        <w:rPr>
          <w:rFonts w:cstheme="minorHAnsi"/>
          <w:bCs/>
          <w:color w:val="000000"/>
          <w:bdr w:val="none" w:sz="0" w:space="0" w:color="auto" w:frame="1"/>
        </w:rPr>
      </w:pPr>
      <w:r w:rsidRPr="00F901EE">
        <w:rPr>
          <w:rFonts w:cstheme="minorHAnsi"/>
          <w:bCs/>
          <w:color w:val="000000"/>
          <w:bdr w:val="none" w:sz="0" w:space="0" w:color="auto" w:frame="1"/>
        </w:rPr>
        <w:t>Podatek kaže</w:t>
      </w:r>
      <w:r w:rsidR="00F4273F">
        <w:rPr>
          <w:rFonts w:cstheme="minorHAnsi"/>
          <w:bCs/>
          <w:color w:val="000000"/>
          <w:bdr w:val="none" w:sz="0" w:space="0" w:color="auto" w:frame="1"/>
        </w:rPr>
        <w:t xml:space="preserve"> število </w:t>
      </w:r>
      <w:r w:rsidRPr="00F901EE">
        <w:rPr>
          <w:rFonts w:cstheme="minorHAnsi"/>
          <w:bCs/>
          <w:color w:val="000000"/>
          <w:bdr w:val="none" w:sz="0" w:space="0" w:color="auto" w:frame="1"/>
        </w:rPr>
        <w:t>zavarovanih oseb na 1</w:t>
      </w:r>
      <w:r>
        <w:rPr>
          <w:rFonts w:cstheme="minorHAnsi"/>
          <w:bCs/>
          <w:color w:val="000000"/>
          <w:bdr w:val="none" w:sz="0" w:space="0" w:color="auto" w:frame="1"/>
        </w:rPr>
        <w:t>.</w:t>
      </w:r>
      <w:r w:rsidRPr="00F901EE">
        <w:rPr>
          <w:rFonts w:cstheme="minorHAnsi"/>
          <w:bCs/>
          <w:color w:val="000000"/>
          <w:bdr w:val="none" w:sz="0" w:space="0" w:color="auto" w:frame="1"/>
        </w:rPr>
        <w:t>000 prejemnikov receptov</w:t>
      </w:r>
      <w:r w:rsidR="00F4273F">
        <w:rPr>
          <w:rFonts w:cstheme="minorHAnsi"/>
          <w:bCs/>
          <w:color w:val="000000"/>
          <w:bdr w:val="none" w:sz="0" w:space="0" w:color="auto" w:frame="1"/>
        </w:rPr>
        <w:t>,</w:t>
      </w:r>
      <w:r w:rsidRPr="00F901EE">
        <w:rPr>
          <w:rFonts w:cstheme="minorHAnsi"/>
          <w:bCs/>
          <w:color w:val="000000"/>
          <w:bdr w:val="none" w:sz="0" w:space="0" w:color="auto" w:frame="1"/>
        </w:rPr>
        <w:t xml:space="preserve"> </w:t>
      </w:r>
      <w:r w:rsidR="00F4273F">
        <w:rPr>
          <w:rFonts w:cstheme="minorHAnsi"/>
          <w:bCs/>
          <w:color w:val="000000"/>
          <w:bdr w:val="none" w:sz="0" w:space="0" w:color="auto" w:frame="1"/>
        </w:rPr>
        <w:t xml:space="preserve">ki so </w:t>
      </w:r>
      <w:r w:rsidRPr="00F901EE">
        <w:rPr>
          <w:rFonts w:cstheme="minorHAnsi"/>
          <w:bCs/>
          <w:color w:val="000000"/>
          <w:bdr w:val="none" w:sz="0" w:space="0" w:color="auto" w:frame="1"/>
        </w:rPr>
        <w:t>prejel</w:t>
      </w:r>
      <w:r w:rsidR="00F4273F">
        <w:rPr>
          <w:rFonts w:cstheme="minorHAnsi"/>
          <w:bCs/>
          <w:color w:val="000000"/>
          <w:bdr w:val="none" w:sz="0" w:space="0" w:color="auto" w:frame="1"/>
        </w:rPr>
        <w:t>e</w:t>
      </w:r>
      <w:r w:rsidRPr="00F901EE">
        <w:rPr>
          <w:rFonts w:cstheme="minorHAnsi"/>
          <w:bCs/>
          <w:color w:val="000000"/>
          <w:bdr w:val="none" w:sz="0" w:space="0" w:color="auto" w:frame="1"/>
        </w:rPr>
        <w:t xml:space="preserve"> vsaj en recept za anksiolitik</w:t>
      </w:r>
      <w:r w:rsidR="00ED1D10">
        <w:rPr>
          <w:rFonts w:cstheme="minorHAnsi"/>
          <w:bCs/>
          <w:color w:val="000000"/>
          <w:bdr w:val="none" w:sz="0" w:space="0" w:color="auto" w:frame="1"/>
        </w:rPr>
        <w:t xml:space="preserve"> (</w:t>
      </w:r>
      <w:proofErr w:type="gramStart"/>
      <w:r w:rsidR="00ED1D10">
        <w:rPr>
          <w:rFonts w:cstheme="minorHAnsi"/>
          <w:bCs/>
          <w:color w:val="000000"/>
          <w:bdr w:val="none" w:sz="0" w:space="0" w:color="auto" w:frame="1"/>
        </w:rPr>
        <w:t>ATC N05B</w:t>
      </w:r>
      <w:proofErr w:type="gramEnd"/>
      <w:r w:rsidR="00ED1D10">
        <w:rPr>
          <w:rFonts w:cstheme="minorHAnsi"/>
          <w:bCs/>
          <w:color w:val="000000"/>
          <w:bdr w:val="none" w:sz="0" w:space="0" w:color="auto" w:frame="1"/>
        </w:rPr>
        <w:t>)</w:t>
      </w:r>
      <w:r w:rsidRPr="00F901EE">
        <w:rPr>
          <w:rFonts w:cstheme="minorHAnsi"/>
          <w:bCs/>
          <w:color w:val="000000"/>
          <w:bdr w:val="none" w:sz="0" w:space="0" w:color="auto" w:frame="1"/>
        </w:rPr>
        <w:t xml:space="preserve">, hipnotik </w:t>
      </w:r>
      <w:r w:rsidR="00F4273F">
        <w:rPr>
          <w:rFonts w:cstheme="minorHAnsi"/>
          <w:bCs/>
          <w:color w:val="000000"/>
          <w:bdr w:val="none" w:sz="0" w:space="0" w:color="auto" w:frame="1"/>
        </w:rPr>
        <w:t>ali</w:t>
      </w:r>
      <w:r w:rsidRPr="00F901EE">
        <w:rPr>
          <w:rFonts w:cstheme="minorHAnsi"/>
          <w:bCs/>
          <w:color w:val="000000"/>
          <w:bdr w:val="none" w:sz="0" w:space="0" w:color="auto" w:frame="1"/>
        </w:rPr>
        <w:t xml:space="preserve"> sedativ</w:t>
      </w:r>
      <w:r w:rsidR="00ED1D10">
        <w:rPr>
          <w:rFonts w:cstheme="minorHAnsi"/>
          <w:bCs/>
          <w:color w:val="000000"/>
          <w:bdr w:val="none" w:sz="0" w:space="0" w:color="auto" w:frame="1"/>
        </w:rPr>
        <w:t xml:space="preserve"> (ATC N05C)</w:t>
      </w:r>
      <w:r w:rsidRPr="00F901EE">
        <w:rPr>
          <w:rFonts w:cstheme="minorHAnsi"/>
          <w:bCs/>
          <w:color w:val="000000"/>
          <w:bdr w:val="none" w:sz="0" w:space="0" w:color="auto" w:frame="1"/>
        </w:rPr>
        <w:t>. Nižji rezultat od povprečja kaže, da je ta zdravila prejelo manj oseb od slovenskega povprečja.</w:t>
      </w:r>
    </w:p>
    <w:p w14:paraId="018E8F73" w14:textId="77777777" w:rsidR="00F901EE" w:rsidRDefault="00F901EE" w:rsidP="00A6766C">
      <w:pPr>
        <w:spacing w:after="0" w:line="240" w:lineRule="auto"/>
        <w:rPr>
          <w:rFonts w:cstheme="minorHAnsi"/>
          <w:b/>
          <w:bCs/>
          <w:color w:val="000000"/>
          <w:bdr w:val="none" w:sz="0" w:space="0" w:color="auto" w:frame="1"/>
        </w:rPr>
      </w:pPr>
    </w:p>
    <w:p w14:paraId="5521E673" w14:textId="4AE0BD88" w:rsidR="00F901EE" w:rsidRPr="00F901EE" w:rsidRDefault="00F901EE" w:rsidP="00F901EE">
      <w:pPr>
        <w:spacing w:after="0" w:line="240" w:lineRule="auto"/>
        <w:rPr>
          <w:rFonts w:cstheme="minorHAnsi"/>
          <w:bCs/>
          <w:color w:val="000000"/>
          <w:u w:val="single"/>
          <w:bdr w:val="none" w:sz="0" w:space="0" w:color="auto" w:frame="1"/>
        </w:rPr>
      </w:pPr>
      <w:r w:rsidRPr="00F901EE">
        <w:rPr>
          <w:rFonts w:cstheme="minorHAnsi"/>
          <w:bCs/>
          <w:color w:val="000000"/>
          <w:u w:val="single"/>
          <w:bdr w:val="none" w:sz="0" w:space="0" w:color="auto" w:frame="1"/>
        </w:rPr>
        <w:t>KK7 – poraba anksiolitikov in hipnotikov</w:t>
      </w:r>
      <w:r w:rsidR="00FF5A29">
        <w:rPr>
          <w:rFonts w:cstheme="minorHAnsi"/>
          <w:bCs/>
          <w:color w:val="000000"/>
          <w:u w:val="single"/>
          <w:bdr w:val="none" w:sz="0" w:space="0" w:color="auto" w:frame="1"/>
        </w:rPr>
        <w:t>/</w:t>
      </w:r>
      <w:proofErr w:type="gramStart"/>
      <w:r w:rsidR="00FF5A29">
        <w:rPr>
          <w:rFonts w:cstheme="minorHAnsi"/>
          <w:bCs/>
          <w:color w:val="000000"/>
          <w:u w:val="single"/>
          <w:bdr w:val="none" w:sz="0" w:space="0" w:color="auto" w:frame="1"/>
        </w:rPr>
        <w:t>sedativov</w:t>
      </w:r>
      <w:proofErr w:type="gramEnd"/>
      <w:r w:rsidRPr="00F901EE">
        <w:rPr>
          <w:rFonts w:cstheme="minorHAnsi"/>
          <w:bCs/>
          <w:color w:val="000000"/>
          <w:u w:val="single"/>
          <w:bdr w:val="none" w:sz="0" w:space="0" w:color="auto" w:frame="1"/>
        </w:rPr>
        <w:t xml:space="preserve"> na prejemnika</w:t>
      </w:r>
    </w:p>
    <w:p w14:paraId="1092A20C" w14:textId="696E237F" w:rsidR="00F901EE" w:rsidRPr="00F901EE" w:rsidRDefault="00F901EE" w:rsidP="00AF74DE">
      <w:pPr>
        <w:spacing w:after="0" w:line="240" w:lineRule="auto"/>
        <w:jc w:val="both"/>
        <w:rPr>
          <w:rFonts w:cstheme="minorHAnsi"/>
          <w:bCs/>
          <w:color w:val="000000"/>
          <w:bdr w:val="none" w:sz="0" w:space="0" w:color="auto" w:frame="1"/>
        </w:rPr>
      </w:pPr>
      <w:r w:rsidRPr="00F901EE">
        <w:rPr>
          <w:rFonts w:cstheme="minorHAnsi"/>
          <w:bCs/>
          <w:color w:val="000000"/>
          <w:bdr w:val="none" w:sz="0" w:space="0" w:color="auto" w:frame="1"/>
        </w:rPr>
        <w:t xml:space="preserve">Podatek kaže povprečno porabo </w:t>
      </w:r>
      <w:r w:rsidR="00F80F3F">
        <w:rPr>
          <w:rFonts w:cstheme="minorHAnsi"/>
          <w:bCs/>
          <w:color w:val="000000"/>
          <w:bdr w:val="none" w:sz="0" w:space="0" w:color="auto" w:frame="1"/>
        </w:rPr>
        <w:t xml:space="preserve">(v DDD) </w:t>
      </w:r>
      <w:r w:rsidRPr="00F901EE">
        <w:rPr>
          <w:rFonts w:cstheme="minorHAnsi"/>
          <w:bCs/>
          <w:color w:val="000000"/>
          <w:bdr w:val="none" w:sz="0" w:space="0" w:color="auto" w:frame="1"/>
        </w:rPr>
        <w:t>anksiolitikov</w:t>
      </w:r>
      <w:r w:rsidR="00BF3B3C">
        <w:rPr>
          <w:rFonts w:cstheme="minorHAnsi"/>
          <w:bCs/>
          <w:color w:val="000000"/>
          <w:bdr w:val="none" w:sz="0" w:space="0" w:color="auto" w:frame="1"/>
        </w:rPr>
        <w:t xml:space="preserve"> in</w:t>
      </w:r>
      <w:r w:rsidRPr="00F901EE">
        <w:rPr>
          <w:rFonts w:cstheme="minorHAnsi"/>
          <w:bCs/>
          <w:color w:val="000000"/>
          <w:bdr w:val="none" w:sz="0" w:space="0" w:color="auto" w:frame="1"/>
        </w:rPr>
        <w:t xml:space="preserve"> hipnotikov</w:t>
      </w:r>
      <w:r w:rsidR="00BF3B3C">
        <w:rPr>
          <w:rFonts w:cstheme="minorHAnsi"/>
          <w:bCs/>
          <w:color w:val="000000"/>
          <w:bdr w:val="none" w:sz="0" w:space="0" w:color="auto" w:frame="1"/>
        </w:rPr>
        <w:t>/</w:t>
      </w:r>
      <w:proofErr w:type="gramStart"/>
      <w:r w:rsidRPr="00F901EE">
        <w:rPr>
          <w:rFonts w:cstheme="minorHAnsi"/>
          <w:bCs/>
          <w:color w:val="000000"/>
          <w:bdr w:val="none" w:sz="0" w:space="0" w:color="auto" w:frame="1"/>
        </w:rPr>
        <w:t>sedativov</w:t>
      </w:r>
      <w:proofErr w:type="gramEnd"/>
      <w:r w:rsidRPr="00F901EE">
        <w:rPr>
          <w:rFonts w:cstheme="minorHAnsi"/>
          <w:bCs/>
          <w:color w:val="000000"/>
          <w:bdr w:val="none" w:sz="0" w:space="0" w:color="auto" w:frame="1"/>
        </w:rPr>
        <w:t xml:space="preserve"> na prejemnika teh receptov v DDD. Nižji rezultat od povprečja kaže, da so bila ta zdravila v povprečju predpisana manj osebam od slovenskega povprečja in/ali v nižjih odmerkih.</w:t>
      </w:r>
    </w:p>
    <w:p w14:paraId="1EEA92B4" w14:textId="77777777" w:rsidR="00EE1AEA" w:rsidRPr="007B0901" w:rsidRDefault="00EE1AEA" w:rsidP="00EE1AEA">
      <w:pPr>
        <w:spacing w:after="0" w:line="240" w:lineRule="auto"/>
        <w:rPr>
          <w:rFonts w:cstheme="minorHAnsi"/>
          <w:b/>
          <w:bCs/>
          <w:color w:val="000000"/>
          <w:sz w:val="20"/>
          <w:szCs w:val="20"/>
          <w:bdr w:val="none" w:sz="0" w:space="0" w:color="auto" w:frame="1"/>
        </w:rPr>
      </w:pPr>
    </w:p>
    <w:p w14:paraId="2D305FD7" w14:textId="267BC6F3" w:rsidR="002E43ED" w:rsidRDefault="002E43ED"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2B0017">
        <w:rPr>
          <w:rFonts w:cstheme="minorHAnsi"/>
          <w:bCs/>
          <w:i/>
          <w:iCs/>
          <w:color w:val="000000"/>
          <w:bdr w:val="none" w:sz="0" w:space="0" w:color="auto" w:frame="1"/>
        </w:rPr>
        <w:t xml:space="preserve">Zbirni podatki o predpisovanju </w:t>
      </w:r>
      <w:r w:rsidRPr="002E43ED">
        <w:rPr>
          <w:rFonts w:cstheme="minorHAnsi"/>
          <w:bCs/>
          <w:i/>
          <w:iCs/>
          <w:color w:val="000000"/>
          <w:bdr w:val="none" w:sz="0" w:space="0" w:color="auto" w:frame="1"/>
        </w:rPr>
        <w:t>anksiolitikov in hipnotikov/</w:t>
      </w:r>
      <w:proofErr w:type="gramStart"/>
      <w:r w:rsidRPr="002E43ED">
        <w:rPr>
          <w:rFonts w:cstheme="minorHAnsi"/>
          <w:bCs/>
          <w:i/>
          <w:iCs/>
          <w:color w:val="000000"/>
          <w:bdr w:val="none" w:sz="0" w:space="0" w:color="auto" w:frame="1"/>
        </w:rPr>
        <w:t>sedativov</w:t>
      </w:r>
      <w:proofErr w:type="gramEnd"/>
      <w:r>
        <w:rPr>
          <w:rFonts w:cstheme="minorHAnsi"/>
          <w:bCs/>
          <w:color w:val="000000"/>
          <w:bdr w:val="none" w:sz="0" w:space="0" w:color="auto" w:frame="1"/>
        </w:rPr>
        <w:t xml:space="preserve"> so prikazani podatki o njihovem predpisovanju v zadnjih 5 letih: število oseb, število receptov in poraba v št. DDD. Vsaka oseba se šteje le enkrat v posameznem letu.</w:t>
      </w:r>
    </w:p>
    <w:p w14:paraId="33D97B18" w14:textId="77777777" w:rsidR="002E43ED" w:rsidRPr="00674902" w:rsidRDefault="002E43ED" w:rsidP="002E43ED">
      <w:pPr>
        <w:spacing w:after="0" w:line="240" w:lineRule="auto"/>
        <w:rPr>
          <w:rFonts w:cstheme="minorHAnsi"/>
          <w:bCs/>
          <w:color w:val="000000"/>
          <w:sz w:val="10"/>
          <w:szCs w:val="10"/>
          <w:bdr w:val="none" w:sz="0" w:space="0" w:color="auto" w:frame="1"/>
        </w:rPr>
      </w:pPr>
    </w:p>
    <w:p w14:paraId="39542634" w14:textId="2ADE94D2" w:rsidR="002E43ED" w:rsidRDefault="002E43ED"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674902">
        <w:rPr>
          <w:rFonts w:cstheme="minorHAnsi"/>
          <w:bCs/>
          <w:i/>
          <w:iCs/>
          <w:color w:val="000000"/>
          <w:bdr w:val="none" w:sz="0" w:space="0" w:color="auto" w:frame="1"/>
        </w:rPr>
        <w:t xml:space="preserve">Predpisovanje </w:t>
      </w:r>
      <w:r w:rsidRPr="002E43ED">
        <w:rPr>
          <w:rFonts w:cstheme="minorHAnsi"/>
          <w:bCs/>
          <w:i/>
          <w:iCs/>
          <w:color w:val="000000"/>
          <w:bdr w:val="none" w:sz="0" w:space="0" w:color="auto" w:frame="1"/>
        </w:rPr>
        <w:t>anksiolitikov in hipnotikov/sedativov</w:t>
      </w:r>
      <w:r w:rsidRPr="00674902">
        <w:rPr>
          <w:rFonts w:cstheme="minorHAnsi"/>
          <w:bCs/>
          <w:i/>
          <w:iCs/>
          <w:color w:val="000000"/>
          <w:bdr w:val="none" w:sz="0" w:space="0" w:color="auto" w:frame="1"/>
        </w:rPr>
        <w:t xml:space="preserve"> po </w:t>
      </w:r>
      <w:proofErr w:type="gramStart"/>
      <w:r w:rsidRPr="00674902">
        <w:rPr>
          <w:rFonts w:cstheme="minorHAnsi"/>
          <w:bCs/>
          <w:i/>
          <w:iCs/>
          <w:color w:val="000000"/>
          <w:bdr w:val="none" w:sz="0" w:space="0" w:color="auto" w:frame="1"/>
        </w:rPr>
        <w:t>ATC šifrah</w:t>
      </w:r>
      <w:proofErr w:type="gramEnd"/>
      <w:r w:rsidRPr="00674902">
        <w:rPr>
          <w:rFonts w:cstheme="minorHAnsi"/>
          <w:bCs/>
          <w:i/>
          <w:iCs/>
          <w:color w:val="000000"/>
          <w:bdr w:val="none" w:sz="0" w:space="0" w:color="auto" w:frame="1"/>
        </w:rPr>
        <w:t xml:space="preserve"> v letu …</w:t>
      </w:r>
      <w:r>
        <w:rPr>
          <w:rFonts w:cstheme="minorHAnsi"/>
          <w:bCs/>
          <w:color w:val="000000"/>
          <w:bdr w:val="none" w:sz="0" w:space="0" w:color="auto" w:frame="1"/>
        </w:rPr>
        <w:t xml:space="preserve"> so p</w:t>
      </w:r>
      <w:r w:rsidRPr="00AF74DE">
        <w:rPr>
          <w:rFonts w:cstheme="minorHAnsi"/>
          <w:bCs/>
          <w:color w:val="000000"/>
          <w:bdr w:val="none" w:sz="0" w:space="0" w:color="auto" w:frame="1"/>
        </w:rPr>
        <w:t xml:space="preserve">rikazani podatki </w:t>
      </w:r>
      <w:r>
        <w:rPr>
          <w:rFonts w:cstheme="minorHAnsi"/>
          <w:bCs/>
          <w:color w:val="000000"/>
          <w:bdr w:val="none" w:sz="0" w:space="0" w:color="auto" w:frame="1"/>
        </w:rPr>
        <w:t xml:space="preserve">po posameznih </w:t>
      </w:r>
      <w:proofErr w:type="gramStart"/>
      <w:r>
        <w:rPr>
          <w:rFonts w:cstheme="minorHAnsi"/>
          <w:bCs/>
          <w:color w:val="000000"/>
          <w:bdr w:val="none" w:sz="0" w:space="0" w:color="auto" w:frame="1"/>
        </w:rPr>
        <w:t>ATC šifrah</w:t>
      </w:r>
      <w:proofErr w:type="gramEnd"/>
      <w:r>
        <w:rPr>
          <w:rFonts w:cstheme="minorHAnsi"/>
          <w:bCs/>
          <w:color w:val="000000"/>
          <w:bdr w:val="none" w:sz="0" w:space="0" w:color="auto" w:frame="1"/>
        </w:rPr>
        <w:t xml:space="preserve"> oz. učinkovinah v </w:t>
      </w:r>
      <w:r w:rsidRPr="00AF74DE">
        <w:rPr>
          <w:rFonts w:cstheme="minorHAnsi"/>
          <w:bCs/>
          <w:color w:val="000000"/>
          <w:bdr w:val="none" w:sz="0" w:space="0" w:color="auto" w:frame="1"/>
        </w:rPr>
        <w:t>zadnje</w:t>
      </w:r>
      <w:r>
        <w:rPr>
          <w:rFonts w:cstheme="minorHAnsi"/>
          <w:bCs/>
          <w:color w:val="000000"/>
          <w:bdr w:val="none" w:sz="0" w:space="0" w:color="auto" w:frame="1"/>
        </w:rPr>
        <w:t>m</w:t>
      </w:r>
      <w:r w:rsidRPr="00AF74DE">
        <w:rPr>
          <w:rFonts w:cstheme="minorHAnsi"/>
          <w:bCs/>
          <w:color w:val="000000"/>
          <w:bdr w:val="none" w:sz="0" w:space="0" w:color="auto" w:frame="1"/>
        </w:rPr>
        <w:t xml:space="preserve"> let</w:t>
      </w:r>
      <w:r>
        <w:rPr>
          <w:rFonts w:cstheme="minorHAnsi"/>
          <w:bCs/>
          <w:color w:val="000000"/>
          <w:bdr w:val="none" w:sz="0" w:space="0" w:color="auto" w:frame="1"/>
        </w:rPr>
        <w:t xml:space="preserve">u: število oseb, število receptov ter poraba v številu DDD in odstotnih deležih (% DDD). </w:t>
      </w:r>
      <w:r w:rsidRPr="00AF74DE">
        <w:rPr>
          <w:rFonts w:cstheme="minorHAnsi"/>
          <w:bCs/>
          <w:color w:val="000000"/>
          <w:bdr w:val="none" w:sz="0" w:space="0" w:color="auto" w:frame="1"/>
        </w:rPr>
        <w:t xml:space="preserve"> </w:t>
      </w:r>
      <w:r>
        <w:rPr>
          <w:rFonts w:cstheme="minorHAnsi"/>
          <w:bCs/>
          <w:color w:val="000000"/>
          <w:bdr w:val="none" w:sz="0" w:space="0" w:color="auto" w:frame="1"/>
        </w:rPr>
        <w:t xml:space="preserve"> </w:t>
      </w:r>
    </w:p>
    <w:p w14:paraId="61A599FB" w14:textId="77777777" w:rsidR="00D110E3" w:rsidRDefault="00D110E3" w:rsidP="00A6766C">
      <w:pPr>
        <w:spacing w:after="0" w:line="240" w:lineRule="auto"/>
        <w:rPr>
          <w:rFonts w:cstheme="minorHAnsi"/>
          <w:b/>
          <w:bCs/>
          <w:color w:val="000000"/>
          <w:bdr w:val="none" w:sz="0" w:space="0" w:color="auto" w:frame="1"/>
        </w:rPr>
      </w:pPr>
    </w:p>
    <w:p w14:paraId="29112833" w14:textId="7041C63D" w:rsidR="0066042A" w:rsidRDefault="008B2E2A" w:rsidP="00A6766C">
      <w:pPr>
        <w:spacing w:after="0" w:line="240" w:lineRule="auto"/>
        <w:rPr>
          <w:rFonts w:cstheme="minorHAnsi"/>
          <w:b/>
          <w:bCs/>
          <w:color w:val="000000"/>
          <w:sz w:val="24"/>
          <w:bdr w:val="none" w:sz="0" w:space="0" w:color="auto" w:frame="1"/>
        </w:rPr>
      </w:pPr>
      <w:r w:rsidRPr="007809E9">
        <w:rPr>
          <w:rFonts w:cstheme="minorHAnsi"/>
          <w:b/>
          <w:bCs/>
          <w:color w:val="000000"/>
          <w:sz w:val="24"/>
          <w:bdr w:val="none" w:sz="0" w:space="0" w:color="auto" w:frame="1"/>
        </w:rPr>
        <w:t xml:space="preserve">2.4. </w:t>
      </w:r>
      <w:r w:rsidR="00FF5A29">
        <w:rPr>
          <w:rFonts w:cstheme="minorHAnsi"/>
          <w:b/>
          <w:bCs/>
          <w:color w:val="000000"/>
          <w:sz w:val="24"/>
          <w:bdr w:val="none" w:sz="0" w:space="0" w:color="auto" w:frame="1"/>
        </w:rPr>
        <w:t>Z</w:t>
      </w:r>
      <w:r w:rsidR="0066042A" w:rsidRPr="007809E9">
        <w:rPr>
          <w:rFonts w:cstheme="minorHAnsi"/>
          <w:b/>
          <w:bCs/>
          <w:color w:val="000000"/>
          <w:sz w:val="24"/>
          <w:bdr w:val="none" w:sz="0" w:space="0" w:color="auto" w:frame="1"/>
        </w:rPr>
        <w:t>aviralc</w:t>
      </w:r>
      <w:r w:rsidR="00FF5A29">
        <w:rPr>
          <w:rFonts w:cstheme="minorHAnsi"/>
          <w:b/>
          <w:bCs/>
          <w:color w:val="000000"/>
          <w:sz w:val="24"/>
          <w:bdr w:val="none" w:sz="0" w:space="0" w:color="auto" w:frame="1"/>
        </w:rPr>
        <w:t>i</w:t>
      </w:r>
      <w:r w:rsidR="0066042A" w:rsidRPr="007809E9">
        <w:rPr>
          <w:rFonts w:cstheme="minorHAnsi"/>
          <w:b/>
          <w:bCs/>
          <w:color w:val="000000"/>
          <w:sz w:val="24"/>
          <w:bdr w:val="none" w:sz="0" w:space="0" w:color="auto" w:frame="1"/>
        </w:rPr>
        <w:t xml:space="preserve"> protonske črpalke (ZPČ)</w:t>
      </w:r>
    </w:p>
    <w:p w14:paraId="265F082D" w14:textId="77777777" w:rsidR="002E43ED" w:rsidRPr="007809E9" w:rsidRDefault="002E43ED" w:rsidP="00A6766C">
      <w:pPr>
        <w:spacing w:after="0" w:line="240" w:lineRule="auto"/>
        <w:rPr>
          <w:rFonts w:cstheme="minorHAnsi"/>
          <w:b/>
          <w:bCs/>
          <w:color w:val="000000"/>
          <w:sz w:val="24"/>
          <w:bdr w:val="none" w:sz="0" w:space="0" w:color="auto" w:frame="1"/>
        </w:rPr>
      </w:pPr>
    </w:p>
    <w:p w14:paraId="37FCF27A" w14:textId="77777777" w:rsidR="008B2E2A" w:rsidRPr="008B2E2A" w:rsidRDefault="008B2E2A" w:rsidP="002E43ED">
      <w:pPr>
        <w:pStyle w:val="Brezrazmikov"/>
        <w:rPr>
          <w:rFonts w:cstheme="minorHAnsi"/>
          <w:u w:val="single"/>
        </w:rPr>
      </w:pPr>
      <w:r w:rsidRPr="008B2E2A">
        <w:rPr>
          <w:rFonts w:cstheme="minorHAnsi"/>
          <w:u w:val="single"/>
        </w:rPr>
        <w:t xml:space="preserve">KK8 – </w:t>
      </w:r>
      <w:proofErr w:type="gramStart"/>
      <w:r w:rsidRPr="008B2E2A">
        <w:rPr>
          <w:rFonts w:cstheme="minorHAnsi"/>
          <w:u w:val="single"/>
        </w:rPr>
        <w:t>prevalenca</w:t>
      </w:r>
      <w:proofErr w:type="gramEnd"/>
      <w:r w:rsidRPr="008B2E2A">
        <w:rPr>
          <w:rFonts w:cstheme="minorHAnsi"/>
          <w:u w:val="single"/>
        </w:rPr>
        <w:t xml:space="preserve"> prejemnikov ZPČ</w:t>
      </w:r>
    </w:p>
    <w:p w14:paraId="7DEEF3F4" w14:textId="79C45D80" w:rsidR="008B2E2A" w:rsidRPr="008B2E2A" w:rsidRDefault="008B2E2A" w:rsidP="002D53A9">
      <w:pPr>
        <w:pStyle w:val="Brezrazmikov"/>
        <w:jc w:val="both"/>
        <w:rPr>
          <w:rFonts w:cstheme="minorHAnsi"/>
        </w:rPr>
      </w:pPr>
      <w:r w:rsidRPr="008B2E2A">
        <w:rPr>
          <w:rFonts w:cstheme="minorHAnsi"/>
        </w:rPr>
        <w:t>Podatek kaže</w:t>
      </w:r>
      <w:r w:rsidR="00F4273F">
        <w:rPr>
          <w:rFonts w:cstheme="minorHAnsi"/>
        </w:rPr>
        <w:t xml:space="preserve"> število </w:t>
      </w:r>
      <w:r w:rsidRPr="008B2E2A">
        <w:rPr>
          <w:rFonts w:cstheme="minorHAnsi"/>
        </w:rPr>
        <w:t>zavarovanih oseb na 1</w:t>
      </w:r>
      <w:r w:rsidR="002D53A9">
        <w:rPr>
          <w:rFonts w:cstheme="minorHAnsi"/>
        </w:rPr>
        <w:t>.</w:t>
      </w:r>
      <w:r w:rsidRPr="008B2E2A">
        <w:rPr>
          <w:rFonts w:cstheme="minorHAnsi"/>
        </w:rPr>
        <w:t>000 prejemnikov</w:t>
      </w:r>
      <w:r w:rsidR="00F4273F">
        <w:rPr>
          <w:rFonts w:cstheme="minorHAnsi"/>
        </w:rPr>
        <w:t>, ki so</w:t>
      </w:r>
      <w:r w:rsidRPr="008B2E2A">
        <w:rPr>
          <w:rFonts w:cstheme="minorHAnsi"/>
        </w:rPr>
        <w:t xml:space="preserve"> prejel</w:t>
      </w:r>
      <w:r w:rsidR="00F4273F">
        <w:rPr>
          <w:rFonts w:cstheme="minorHAnsi"/>
        </w:rPr>
        <w:t>e</w:t>
      </w:r>
      <w:r w:rsidRPr="008B2E2A">
        <w:rPr>
          <w:rFonts w:cstheme="minorHAnsi"/>
        </w:rPr>
        <w:t xml:space="preserve"> vsaj en recept za ZPČ</w:t>
      </w:r>
      <w:r w:rsidR="00ED1D10">
        <w:rPr>
          <w:rFonts w:cstheme="minorHAnsi"/>
        </w:rPr>
        <w:t xml:space="preserve"> (</w:t>
      </w:r>
      <w:proofErr w:type="gramStart"/>
      <w:r w:rsidR="00ED1D10">
        <w:rPr>
          <w:rFonts w:cstheme="minorHAnsi"/>
        </w:rPr>
        <w:t>ATC</w:t>
      </w:r>
      <w:proofErr w:type="gramEnd"/>
      <w:r w:rsidR="00ED1D10">
        <w:rPr>
          <w:rFonts w:cstheme="minorHAnsi"/>
        </w:rPr>
        <w:t xml:space="preserve"> 02BC)</w:t>
      </w:r>
      <w:r w:rsidRPr="008B2E2A">
        <w:rPr>
          <w:rFonts w:cstheme="minorHAnsi"/>
        </w:rPr>
        <w:t>.</w:t>
      </w:r>
      <w:r w:rsidR="002D53A9">
        <w:rPr>
          <w:rFonts w:cstheme="minorHAnsi"/>
        </w:rPr>
        <w:t xml:space="preserve"> </w:t>
      </w:r>
      <w:r w:rsidRPr="008B2E2A">
        <w:rPr>
          <w:rFonts w:cstheme="minorHAnsi"/>
        </w:rPr>
        <w:t>Nižji rezultat od povprečja kaže, da je ta zdravila prejelo manj oseb od slovenskega povprečja.</w:t>
      </w:r>
    </w:p>
    <w:p w14:paraId="5311DC56" w14:textId="5C6DF0AF" w:rsidR="008B2E2A" w:rsidRDefault="008B2E2A" w:rsidP="008B2E2A">
      <w:pPr>
        <w:spacing w:after="0" w:line="240" w:lineRule="auto"/>
        <w:rPr>
          <w:color w:val="7F7F7F" w:themeColor="text1" w:themeTint="80"/>
        </w:rPr>
      </w:pPr>
    </w:p>
    <w:p w14:paraId="00B74CDC" w14:textId="130C3AE3" w:rsidR="00CE45FA" w:rsidRDefault="00CE45FA" w:rsidP="008B2E2A">
      <w:pPr>
        <w:spacing w:after="0" w:line="240" w:lineRule="auto"/>
        <w:rPr>
          <w:color w:val="7F7F7F" w:themeColor="text1" w:themeTint="80"/>
        </w:rPr>
      </w:pPr>
    </w:p>
    <w:p w14:paraId="573BDB53" w14:textId="2E59E1B9" w:rsidR="00CE45FA" w:rsidRDefault="00CE45FA" w:rsidP="008B2E2A">
      <w:pPr>
        <w:spacing w:after="0" w:line="240" w:lineRule="auto"/>
        <w:rPr>
          <w:color w:val="7F7F7F" w:themeColor="text1" w:themeTint="80"/>
        </w:rPr>
      </w:pPr>
    </w:p>
    <w:p w14:paraId="49353AD7" w14:textId="77777777" w:rsidR="00CE45FA" w:rsidRDefault="00CE45FA" w:rsidP="008B2E2A">
      <w:pPr>
        <w:spacing w:after="0" w:line="240" w:lineRule="auto"/>
        <w:rPr>
          <w:color w:val="7F7F7F" w:themeColor="text1" w:themeTint="80"/>
        </w:rPr>
      </w:pPr>
    </w:p>
    <w:p w14:paraId="6F3EC374" w14:textId="77777777" w:rsidR="008B2E2A" w:rsidRPr="008B2E2A" w:rsidRDefault="008B2E2A" w:rsidP="008B2E2A">
      <w:pPr>
        <w:spacing w:after="0" w:line="240" w:lineRule="auto"/>
        <w:rPr>
          <w:color w:val="7F7F7F" w:themeColor="text1" w:themeTint="80"/>
          <w:u w:val="single"/>
        </w:rPr>
      </w:pPr>
      <w:r w:rsidRPr="008B2E2A">
        <w:rPr>
          <w:u w:val="single"/>
        </w:rPr>
        <w:lastRenderedPageBreak/>
        <w:t>KK9 – poraba ZPČ na prejemnika</w:t>
      </w:r>
    </w:p>
    <w:p w14:paraId="55DD2EC7" w14:textId="761725AF" w:rsidR="008B2E2A" w:rsidRPr="008B2E2A" w:rsidRDefault="008B2E2A" w:rsidP="002D53A9">
      <w:pPr>
        <w:spacing w:after="0" w:line="240" w:lineRule="auto"/>
        <w:jc w:val="both"/>
      </w:pPr>
      <w:r w:rsidRPr="008B2E2A">
        <w:t xml:space="preserve">Podatek kaže povprečno porabo </w:t>
      </w:r>
      <w:r w:rsidR="00F80F3F">
        <w:t>(</w:t>
      </w:r>
      <w:r w:rsidR="00F4273F">
        <w:t>v DDD</w:t>
      </w:r>
      <w:r w:rsidR="00F80F3F">
        <w:t>)</w:t>
      </w:r>
      <w:r w:rsidR="00F4273F">
        <w:t xml:space="preserve"> </w:t>
      </w:r>
      <w:r w:rsidRPr="008B2E2A">
        <w:t>ZPČ na prejemnika teh receptov. Nižji rezultat od povprečja kaže, da so bila ta zdravila v povprečju predpisana manj osebam od slovenskega povprečja in/ali v nižjih odmerkih.</w:t>
      </w:r>
    </w:p>
    <w:p w14:paraId="21586907" w14:textId="77777777" w:rsidR="007A7E81" w:rsidRDefault="007A7E81" w:rsidP="00EE1AEA">
      <w:pPr>
        <w:spacing w:after="0" w:line="240" w:lineRule="auto"/>
        <w:rPr>
          <w:rFonts w:cstheme="minorHAnsi"/>
          <w:bCs/>
          <w:color w:val="000000"/>
          <w:sz w:val="24"/>
          <w:bdr w:val="none" w:sz="0" w:space="0" w:color="auto" w:frame="1"/>
        </w:rPr>
      </w:pPr>
    </w:p>
    <w:p w14:paraId="5E25F08B" w14:textId="2C8C3654" w:rsidR="00D53A7F" w:rsidRDefault="00D53A7F"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2B0017">
        <w:rPr>
          <w:rFonts w:cstheme="minorHAnsi"/>
          <w:bCs/>
          <w:i/>
          <w:iCs/>
          <w:color w:val="000000"/>
          <w:bdr w:val="none" w:sz="0" w:space="0" w:color="auto" w:frame="1"/>
        </w:rPr>
        <w:t xml:space="preserve">Zbirni podatki o predpisovanju </w:t>
      </w:r>
      <w:r>
        <w:rPr>
          <w:rFonts w:cstheme="minorHAnsi"/>
          <w:bCs/>
          <w:i/>
          <w:iCs/>
          <w:color w:val="000000"/>
          <w:bdr w:val="none" w:sz="0" w:space="0" w:color="auto" w:frame="1"/>
        </w:rPr>
        <w:t xml:space="preserve">ZPČ </w:t>
      </w:r>
      <w:r>
        <w:rPr>
          <w:rFonts w:cstheme="minorHAnsi"/>
          <w:bCs/>
          <w:color w:val="000000"/>
          <w:bdr w:val="none" w:sz="0" w:space="0" w:color="auto" w:frame="1"/>
        </w:rPr>
        <w:t>so prikazani podatki o njihovem predpisovanju v zadnjih 5 letih: število oseb, število receptov in poraba v št. DDD. Vsaka oseba se šteje le enkrat v posameznem letu.</w:t>
      </w:r>
    </w:p>
    <w:p w14:paraId="7089F988" w14:textId="77777777" w:rsidR="00D53A7F" w:rsidRPr="00674902" w:rsidRDefault="00D53A7F" w:rsidP="00D53A7F">
      <w:pPr>
        <w:spacing w:after="0" w:line="240" w:lineRule="auto"/>
        <w:rPr>
          <w:rFonts w:cstheme="minorHAnsi"/>
          <w:bCs/>
          <w:color w:val="000000"/>
          <w:sz w:val="10"/>
          <w:szCs w:val="10"/>
          <w:bdr w:val="none" w:sz="0" w:space="0" w:color="auto" w:frame="1"/>
        </w:rPr>
      </w:pPr>
    </w:p>
    <w:p w14:paraId="7836CBF7" w14:textId="39ED406D" w:rsidR="00D53A7F" w:rsidRDefault="00D53A7F"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674902">
        <w:rPr>
          <w:rFonts w:cstheme="minorHAnsi"/>
          <w:bCs/>
          <w:i/>
          <w:iCs/>
          <w:color w:val="000000"/>
          <w:bdr w:val="none" w:sz="0" w:space="0" w:color="auto" w:frame="1"/>
        </w:rPr>
        <w:t xml:space="preserve">Predpisovanje </w:t>
      </w:r>
      <w:r>
        <w:rPr>
          <w:rFonts w:cstheme="minorHAnsi"/>
          <w:bCs/>
          <w:i/>
          <w:iCs/>
          <w:color w:val="000000"/>
          <w:bdr w:val="none" w:sz="0" w:space="0" w:color="auto" w:frame="1"/>
        </w:rPr>
        <w:t xml:space="preserve">ZPČ </w:t>
      </w:r>
      <w:r w:rsidRPr="00674902">
        <w:rPr>
          <w:rFonts w:cstheme="minorHAnsi"/>
          <w:bCs/>
          <w:i/>
          <w:iCs/>
          <w:color w:val="000000"/>
          <w:bdr w:val="none" w:sz="0" w:space="0" w:color="auto" w:frame="1"/>
        </w:rPr>
        <w:t xml:space="preserve">po </w:t>
      </w:r>
      <w:proofErr w:type="gramStart"/>
      <w:r w:rsidRPr="00674902">
        <w:rPr>
          <w:rFonts w:cstheme="minorHAnsi"/>
          <w:bCs/>
          <w:i/>
          <w:iCs/>
          <w:color w:val="000000"/>
          <w:bdr w:val="none" w:sz="0" w:space="0" w:color="auto" w:frame="1"/>
        </w:rPr>
        <w:t>ATC šifrah</w:t>
      </w:r>
      <w:proofErr w:type="gramEnd"/>
      <w:r w:rsidRPr="00674902">
        <w:rPr>
          <w:rFonts w:cstheme="minorHAnsi"/>
          <w:bCs/>
          <w:i/>
          <w:iCs/>
          <w:color w:val="000000"/>
          <w:bdr w:val="none" w:sz="0" w:space="0" w:color="auto" w:frame="1"/>
        </w:rPr>
        <w:t xml:space="preserve"> v letu …</w:t>
      </w:r>
      <w:r>
        <w:rPr>
          <w:rFonts w:cstheme="minorHAnsi"/>
          <w:bCs/>
          <w:color w:val="000000"/>
          <w:bdr w:val="none" w:sz="0" w:space="0" w:color="auto" w:frame="1"/>
        </w:rPr>
        <w:t xml:space="preserve"> so p</w:t>
      </w:r>
      <w:r w:rsidRPr="00AF74DE">
        <w:rPr>
          <w:rFonts w:cstheme="minorHAnsi"/>
          <w:bCs/>
          <w:color w:val="000000"/>
          <w:bdr w:val="none" w:sz="0" w:space="0" w:color="auto" w:frame="1"/>
        </w:rPr>
        <w:t xml:space="preserve">rikazani podatki </w:t>
      </w:r>
      <w:r>
        <w:rPr>
          <w:rFonts w:cstheme="minorHAnsi"/>
          <w:bCs/>
          <w:color w:val="000000"/>
          <w:bdr w:val="none" w:sz="0" w:space="0" w:color="auto" w:frame="1"/>
        </w:rPr>
        <w:t xml:space="preserve">po posameznih </w:t>
      </w:r>
      <w:proofErr w:type="gramStart"/>
      <w:r>
        <w:rPr>
          <w:rFonts w:cstheme="minorHAnsi"/>
          <w:bCs/>
          <w:color w:val="000000"/>
          <w:bdr w:val="none" w:sz="0" w:space="0" w:color="auto" w:frame="1"/>
        </w:rPr>
        <w:t>ATC šifrah</w:t>
      </w:r>
      <w:proofErr w:type="gramEnd"/>
      <w:r>
        <w:rPr>
          <w:rFonts w:cstheme="minorHAnsi"/>
          <w:bCs/>
          <w:color w:val="000000"/>
          <w:bdr w:val="none" w:sz="0" w:space="0" w:color="auto" w:frame="1"/>
        </w:rPr>
        <w:t xml:space="preserve"> oz. učinkovinah v </w:t>
      </w:r>
      <w:r w:rsidRPr="00AF74DE">
        <w:rPr>
          <w:rFonts w:cstheme="minorHAnsi"/>
          <w:bCs/>
          <w:color w:val="000000"/>
          <w:bdr w:val="none" w:sz="0" w:space="0" w:color="auto" w:frame="1"/>
        </w:rPr>
        <w:t>zadnje</w:t>
      </w:r>
      <w:r>
        <w:rPr>
          <w:rFonts w:cstheme="minorHAnsi"/>
          <w:bCs/>
          <w:color w:val="000000"/>
          <w:bdr w:val="none" w:sz="0" w:space="0" w:color="auto" w:frame="1"/>
        </w:rPr>
        <w:t>m</w:t>
      </w:r>
      <w:r w:rsidRPr="00AF74DE">
        <w:rPr>
          <w:rFonts w:cstheme="minorHAnsi"/>
          <w:bCs/>
          <w:color w:val="000000"/>
          <w:bdr w:val="none" w:sz="0" w:space="0" w:color="auto" w:frame="1"/>
        </w:rPr>
        <w:t xml:space="preserve"> let</w:t>
      </w:r>
      <w:r>
        <w:rPr>
          <w:rFonts w:cstheme="minorHAnsi"/>
          <w:bCs/>
          <w:color w:val="000000"/>
          <w:bdr w:val="none" w:sz="0" w:space="0" w:color="auto" w:frame="1"/>
        </w:rPr>
        <w:t xml:space="preserve">u: število oseb, število receptov ter poraba v številu DDD in odstotnih deležih (% DDD). </w:t>
      </w:r>
      <w:r w:rsidRPr="00AF74DE">
        <w:rPr>
          <w:rFonts w:cstheme="minorHAnsi"/>
          <w:bCs/>
          <w:color w:val="000000"/>
          <w:bdr w:val="none" w:sz="0" w:space="0" w:color="auto" w:frame="1"/>
        </w:rPr>
        <w:t xml:space="preserve"> </w:t>
      </w:r>
      <w:r>
        <w:rPr>
          <w:rFonts w:cstheme="minorHAnsi"/>
          <w:bCs/>
          <w:color w:val="000000"/>
          <w:bdr w:val="none" w:sz="0" w:space="0" w:color="auto" w:frame="1"/>
        </w:rPr>
        <w:t xml:space="preserve"> </w:t>
      </w:r>
    </w:p>
    <w:p w14:paraId="76A4A113" w14:textId="77777777" w:rsidR="00010DF1" w:rsidRDefault="00010DF1" w:rsidP="00A6766C">
      <w:pPr>
        <w:spacing w:after="0" w:line="240" w:lineRule="auto"/>
        <w:rPr>
          <w:rFonts w:cstheme="minorHAnsi"/>
          <w:b/>
          <w:bCs/>
          <w:color w:val="000000"/>
          <w:bdr w:val="none" w:sz="0" w:space="0" w:color="auto" w:frame="1"/>
        </w:rPr>
      </w:pPr>
    </w:p>
    <w:p w14:paraId="24C454E8" w14:textId="4C11F97C" w:rsidR="00986994" w:rsidRDefault="008B2E2A" w:rsidP="00A6766C">
      <w:pPr>
        <w:spacing w:after="0" w:line="240" w:lineRule="auto"/>
        <w:rPr>
          <w:rFonts w:cstheme="minorHAnsi"/>
          <w:b/>
          <w:bCs/>
          <w:color w:val="000000"/>
          <w:sz w:val="24"/>
          <w:bdr w:val="none" w:sz="0" w:space="0" w:color="auto" w:frame="1"/>
        </w:rPr>
      </w:pPr>
      <w:r w:rsidRPr="007809E9">
        <w:rPr>
          <w:rFonts w:cstheme="minorHAnsi"/>
          <w:b/>
          <w:bCs/>
          <w:color w:val="000000"/>
          <w:sz w:val="24"/>
          <w:bdr w:val="none" w:sz="0" w:space="0" w:color="auto" w:frame="1"/>
        </w:rPr>
        <w:t xml:space="preserve">2.5. </w:t>
      </w:r>
      <w:r w:rsidR="00FF5A29">
        <w:rPr>
          <w:rFonts w:cstheme="minorHAnsi"/>
          <w:b/>
          <w:bCs/>
          <w:color w:val="000000"/>
          <w:sz w:val="24"/>
          <w:bdr w:val="none" w:sz="0" w:space="0" w:color="auto" w:frame="1"/>
        </w:rPr>
        <w:t>N</w:t>
      </w:r>
      <w:r w:rsidR="00986994" w:rsidRPr="00FB4267">
        <w:rPr>
          <w:rFonts w:cstheme="minorHAnsi"/>
          <w:b/>
          <w:bCs/>
          <w:color w:val="000000"/>
          <w:sz w:val="24"/>
          <w:bdr w:val="none" w:sz="0" w:space="0" w:color="auto" w:frame="1"/>
        </w:rPr>
        <w:t>esteroidn</w:t>
      </w:r>
      <w:r w:rsidR="00FF5A29">
        <w:rPr>
          <w:rFonts w:cstheme="minorHAnsi"/>
          <w:b/>
          <w:bCs/>
          <w:color w:val="000000"/>
          <w:sz w:val="24"/>
          <w:bdr w:val="none" w:sz="0" w:space="0" w:color="auto" w:frame="1"/>
        </w:rPr>
        <w:t>a</w:t>
      </w:r>
      <w:r w:rsidR="00986994" w:rsidRPr="00FB4267">
        <w:rPr>
          <w:rFonts w:cstheme="minorHAnsi"/>
          <w:b/>
          <w:bCs/>
          <w:color w:val="000000"/>
          <w:sz w:val="24"/>
          <w:bdr w:val="none" w:sz="0" w:space="0" w:color="auto" w:frame="1"/>
        </w:rPr>
        <w:t xml:space="preserve"> protivnetn</w:t>
      </w:r>
      <w:r w:rsidR="00FF5A29">
        <w:rPr>
          <w:rFonts w:cstheme="minorHAnsi"/>
          <w:b/>
          <w:bCs/>
          <w:color w:val="000000"/>
          <w:sz w:val="24"/>
          <w:bdr w:val="none" w:sz="0" w:space="0" w:color="auto" w:frame="1"/>
        </w:rPr>
        <w:t>a</w:t>
      </w:r>
      <w:r w:rsidR="00986994" w:rsidRPr="00FB4267">
        <w:rPr>
          <w:rFonts w:cstheme="minorHAnsi"/>
          <w:b/>
          <w:bCs/>
          <w:color w:val="000000"/>
          <w:sz w:val="24"/>
          <w:bdr w:val="none" w:sz="0" w:space="0" w:color="auto" w:frame="1"/>
        </w:rPr>
        <w:t xml:space="preserve"> in protirevmatičn</w:t>
      </w:r>
      <w:r w:rsidR="00FF5A29">
        <w:rPr>
          <w:rFonts w:cstheme="minorHAnsi"/>
          <w:b/>
          <w:bCs/>
          <w:color w:val="000000"/>
          <w:sz w:val="24"/>
          <w:bdr w:val="none" w:sz="0" w:space="0" w:color="auto" w:frame="1"/>
        </w:rPr>
        <w:t>a</w:t>
      </w:r>
      <w:r w:rsidR="00986994" w:rsidRPr="00FB4267">
        <w:rPr>
          <w:rFonts w:cstheme="minorHAnsi"/>
          <w:b/>
          <w:bCs/>
          <w:color w:val="000000"/>
          <w:sz w:val="24"/>
          <w:bdr w:val="none" w:sz="0" w:space="0" w:color="auto" w:frame="1"/>
        </w:rPr>
        <w:t xml:space="preserve"> </w:t>
      </w:r>
      <w:r w:rsidR="00986994">
        <w:rPr>
          <w:rFonts w:cstheme="minorHAnsi"/>
          <w:b/>
          <w:bCs/>
          <w:color w:val="000000"/>
          <w:sz w:val="24"/>
          <w:bdr w:val="none" w:sz="0" w:space="0" w:color="auto" w:frame="1"/>
        </w:rPr>
        <w:t>zdravil</w:t>
      </w:r>
      <w:r w:rsidR="00FF5A29">
        <w:rPr>
          <w:rFonts w:cstheme="minorHAnsi"/>
          <w:b/>
          <w:bCs/>
          <w:color w:val="000000"/>
          <w:sz w:val="24"/>
          <w:bdr w:val="none" w:sz="0" w:space="0" w:color="auto" w:frame="1"/>
        </w:rPr>
        <w:t>a</w:t>
      </w:r>
    </w:p>
    <w:p w14:paraId="1AFA1DA1" w14:textId="77777777" w:rsidR="00986994" w:rsidRDefault="00986994" w:rsidP="00A6766C">
      <w:pPr>
        <w:spacing w:after="0" w:line="240" w:lineRule="auto"/>
        <w:rPr>
          <w:rFonts w:cstheme="minorHAnsi"/>
          <w:b/>
          <w:bCs/>
          <w:color w:val="000000"/>
          <w:sz w:val="24"/>
          <w:bdr w:val="none" w:sz="0" w:space="0" w:color="auto" w:frame="1"/>
        </w:rPr>
      </w:pPr>
    </w:p>
    <w:p w14:paraId="084F58B2" w14:textId="77777777" w:rsidR="00EE1AEA" w:rsidRPr="00D53A7F" w:rsidRDefault="00EE1AEA" w:rsidP="00D53A7F">
      <w:pPr>
        <w:pStyle w:val="Brezrazmikov"/>
        <w:rPr>
          <w:rFonts w:cstheme="minorHAnsi"/>
          <w:u w:val="single"/>
        </w:rPr>
      </w:pPr>
      <w:r w:rsidRPr="00D53A7F">
        <w:rPr>
          <w:rFonts w:cstheme="minorHAnsi"/>
          <w:u w:val="single"/>
        </w:rPr>
        <w:t xml:space="preserve">KK10 – </w:t>
      </w:r>
      <w:proofErr w:type="gramStart"/>
      <w:r w:rsidRPr="00D53A7F">
        <w:rPr>
          <w:rFonts w:cstheme="minorHAnsi"/>
          <w:u w:val="single"/>
        </w:rPr>
        <w:t>prevalenca</w:t>
      </w:r>
      <w:proofErr w:type="gramEnd"/>
      <w:r w:rsidRPr="00D53A7F">
        <w:rPr>
          <w:rFonts w:cstheme="minorHAnsi"/>
          <w:u w:val="single"/>
        </w:rPr>
        <w:t xml:space="preserve"> prejemnikov </w:t>
      </w:r>
      <w:r w:rsidRPr="00D53A7F">
        <w:rPr>
          <w:rFonts w:cstheme="minorHAnsi"/>
          <w:bCs/>
          <w:color w:val="000000"/>
          <w:u w:val="single"/>
          <w:bdr w:val="none" w:sz="0" w:space="0" w:color="auto" w:frame="1"/>
        </w:rPr>
        <w:t>nesteroidnih protivnetnih in protirevmatičnih zdravil</w:t>
      </w:r>
    </w:p>
    <w:p w14:paraId="1562520B" w14:textId="74EE1B85" w:rsidR="00EE1AEA" w:rsidRPr="008B2E2A" w:rsidRDefault="00EE1AEA" w:rsidP="00EE1AEA">
      <w:pPr>
        <w:pStyle w:val="Brezrazmikov"/>
        <w:jc w:val="both"/>
        <w:rPr>
          <w:rFonts w:cstheme="minorHAnsi"/>
        </w:rPr>
      </w:pPr>
      <w:r w:rsidRPr="008B2E2A">
        <w:rPr>
          <w:rFonts w:cstheme="minorHAnsi"/>
        </w:rPr>
        <w:t>Podatek kaže</w:t>
      </w:r>
      <w:r w:rsidR="00F80F3F">
        <w:rPr>
          <w:rFonts w:cstheme="minorHAnsi"/>
        </w:rPr>
        <w:t xml:space="preserve"> število</w:t>
      </w:r>
      <w:r w:rsidRPr="008B2E2A">
        <w:rPr>
          <w:rFonts w:cstheme="minorHAnsi"/>
        </w:rPr>
        <w:t xml:space="preserve"> zavarovanih oseb na 1</w:t>
      </w:r>
      <w:r>
        <w:rPr>
          <w:rFonts w:cstheme="minorHAnsi"/>
        </w:rPr>
        <w:t>.</w:t>
      </w:r>
      <w:r w:rsidRPr="008B2E2A">
        <w:rPr>
          <w:rFonts w:cstheme="minorHAnsi"/>
        </w:rPr>
        <w:t>000 prejemnikov</w:t>
      </w:r>
      <w:r w:rsidR="00F80F3F">
        <w:rPr>
          <w:rFonts w:cstheme="minorHAnsi"/>
        </w:rPr>
        <w:t>, ki so</w:t>
      </w:r>
      <w:r w:rsidRPr="008B2E2A">
        <w:rPr>
          <w:rFonts w:cstheme="minorHAnsi"/>
        </w:rPr>
        <w:t xml:space="preserve"> prejel</w:t>
      </w:r>
      <w:r w:rsidR="00F80F3F">
        <w:rPr>
          <w:rFonts w:cstheme="minorHAnsi"/>
        </w:rPr>
        <w:t>i</w:t>
      </w:r>
      <w:r w:rsidRPr="008B2E2A">
        <w:rPr>
          <w:rFonts w:cstheme="minorHAnsi"/>
        </w:rPr>
        <w:t xml:space="preserve"> vsaj en recept za </w:t>
      </w:r>
      <w:r w:rsidRPr="00EE1AEA">
        <w:rPr>
          <w:rFonts w:cstheme="minorHAnsi"/>
          <w:bCs/>
        </w:rPr>
        <w:t>nesteroidn</w:t>
      </w:r>
      <w:r>
        <w:rPr>
          <w:rFonts w:cstheme="minorHAnsi"/>
          <w:bCs/>
        </w:rPr>
        <w:t>a</w:t>
      </w:r>
      <w:r w:rsidRPr="00EE1AEA">
        <w:rPr>
          <w:rFonts w:cstheme="minorHAnsi"/>
          <w:bCs/>
        </w:rPr>
        <w:t xml:space="preserve"> protivnetn</w:t>
      </w:r>
      <w:r>
        <w:rPr>
          <w:rFonts w:cstheme="minorHAnsi"/>
          <w:bCs/>
        </w:rPr>
        <w:t>a</w:t>
      </w:r>
      <w:r w:rsidRPr="00EE1AEA">
        <w:rPr>
          <w:rFonts w:cstheme="minorHAnsi"/>
          <w:bCs/>
        </w:rPr>
        <w:t xml:space="preserve"> in protirevmatičn</w:t>
      </w:r>
      <w:r>
        <w:rPr>
          <w:rFonts w:cstheme="minorHAnsi"/>
          <w:bCs/>
        </w:rPr>
        <w:t>a</w:t>
      </w:r>
      <w:r w:rsidRPr="00EE1AEA">
        <w:rPr>
          <w:rFonts w:cstheme="minorHAnsi"/>
          <w:bCs/>
        </w:rPr>
        <w:t xml:space="preserve"> zdravil</w:t>
      </w:r>
      <w:r>
        <w:rPr>
          <w:rFonts w:cstheme="minorHAnsi"/>
          <w:bCs/>
        </w:rPr>
        <w:t>a</w:t>
      </w:r>
      <w:r w:rsidRPr="00EE1AEA">
        <w:rPr>
          <w:rFonts w:cstheme="minorHAnsi"/>
        </w:rPr>
        <w:t xml:space="preserve"> </w:t>
      </w:r>
      <w:r>
        <w:rPr>
          <w:rFonts w:cstheme="minorHAnsi"/>
        </w:rPr>
        <w:t>(</w:t>
      </w:r>
      <w:proofErr w:type="gramStart"/>
      <w:r>
        <w:rPr>
          <w:rFonts w:cstheme="minorHAnsi"/>
        </w:rPr>
        <w:t>ATC</w:t>
      </w:r>
      <w:proofErr w:type="gramEnd"/>
      <w:r>
        <w:rPr>
          <w:rFonts w:cstheme="minorHAnsi"/>
        </w:rPr>
        <w:t xml:space="preserve"> M01)</w:t>
      </w:r>
      <w:r w:rsidRPr="008B2E2A">
        <w:rPr>
          <w:rFonts w:cstheme="minorHAnsi"/>
        </w:rPr>
        <w:t>.</w:t>
      </w:r>
      <w:r>
        <w:rPr>
          <w:rFonts w:cstheme="minorHAnsi"/>
        </w:rPr>
        <w:t xml:space="preserve"> </w:t>
      </w:r>
    </w:p>
    <w:p w14:paraId="77F228DD" w14:textId="77777777" w:rsidR="00EE1AEA" w:rsidRDefault="00EE1AEA" w:rsidP="00A6766C">
      <w:pPr>
        <w:spacing w:after="0" w:line="240" w:lineRule="auto"/>
        <w:rPr>
          <w:rFonts w:cstheme="minorHAnsi"/>
          <w:b/>
          <w:bCs/>
          <w:color w:val="000000"/>
          <w:sz w:val="24"/>
          <w:bdr w:val="none" w:sz="0" w:space="0" w:color="auto" w:frame="1"/>
        </w:rPr>
      </w:pPr>
    </w:p>
    <w:p w14:paraId="12AE1D95" w14:textId="77777777" w:rsidR="00FF5A29" w:rsidRPr="00D53A7F" w:rsidRDefault="00FF5A29" w:rsidP="00FF5A29">
      <w:pPr>
        <w:spacing w:after="0" w:line="240" w:lineRule="auto"/>
        <w:rPr>
          <w:color w:val="7F7F7F" w:themeColor="text1" w:themeTint="80"/>
          <w:u w:val="single"/>
        </w:rPr>
      </w:pPr>
      <w:r w:rsidRPr="00D53A7F">
        <w:rPr>
          <w:u w:val="single"/>
        </w:rPr>
        <w:t>KK11 – poraba nesteroidnih protivnetnih zdravil na prejemnika</w:t>
      </w:r>
    </w:p>
    <w:p w14:paraId="3CB19BFF" w14:textId="77777777" w:rsidR="00FF5A29" w:rsidRPr="008B2E2A" w:rsidRDefault="00FF5A29" w:rsidP="00FF5A29">
      <w:pPr>
        <w:spacing w:after="0" w:line="240" w:lineRule="auto"/>
        <w:jc w:val="both"/>
      </w:pPr>
      <w:r w:rsidRPr="008B2E2A">
        <w:t xml:space="preserve">Podatek kaže povprečno porabo </w:t>
      </w:r>
      <w:r>
        <w:t xml:space="preserve">(v DDD) </w:t>
      </w:r>
      <w:bookmarkStart w:id="2" w:name="_Hlk50626813"/>
      <w:r>
        <w:t xml:space="preserve">nesteroidnih protivnetnih in protirevmatičnih zdravil </w:t>
      </w:r>
      <w:bookmarkEnd w:id="2"/>
      <w:r w:rsidRPr="008B2E2A">
        <w:t>na prejemnika teh receptov. Nižji rezultat od povprečja kaže, da so bila ta zdravila v povprečju predpisana manj osebam od slovenskega povprečja in/ali v nižjih odmerkih.</w:t>
      </w:r>
    </w:p>
    <w:p w14:paraId="04BA4854" w14:textId="77777777" w:rsidR="00FF5A29" w:rsidRPr="007B0901" w:rsidRDefault="00FF5A29" w:rsidP="00FF5A29">
      <w:pPr>
        <w:spacing w:after="0" w:line="240" w:lineRule="auto"/>
        <w:jc w:val="both"/>
        <w:rPr>
          <w:rFonts w:cstheme="minorHAnsi"/>
          <w:bCs/>
          <w:color w:val="000000"/>
          <w:sz w:val="20"/>
          <w:szCs w:val="20"/>
          <w:bdr w:val="none" w:sz="0" w:space="0" w:color="auto" w:frame="1"/>
        </w:rPr>
      </w:pPr>
    </w:p>
    <w:p w14:paraId="5A8E4A21" w14:textId="36D0DBC6" w:rsidR="00D53A7F" w:rsidRDefault="00D53A7F"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2B0017">
        <w:rPr>
          <w:rFonts w:cstheme="minorHAnsi"/>
          <w:bCs/>
          <w:i/>
          <w:iCs/>
          <w:color w:val="000000"/>
          <w:bdr w:val="none" w:sz="0" w:space="0" w:color="auto" w:frame="1"/>
        </w:rPr>
        <w:t xml:space="preserve">Zbirni podatki o predpisovanju </w:t>
      </w:r>
      <w:r w:rsidRPr="00D53A7F">
        <w:rPr>
          <w:rFonts w:cstheme="minorHAnsi"/>
          <w:bCs/>
          <w:i/>
          <w:iCs/>
          <w:color w:val="000000"/>
          <w:bdr w:val="none" w:sz="0" w:space="0" w:color="auto" w:frame="1"/>
        </w:rPr>
        <w:t>nesteroidnih protivnetnih in protirevmatičnih zdravil</w:t>
      </w:r>
      <w:r>
        <w:rPr>
          <w:rFonts w:cstheme="minorHAnsi"/>
          <w:bCs/>
          <w:i/>
          <w:iCs/>
          <w:color w:val="000000"/>
          <w:bdr w:val="none" w:sz="0" w:space="0" w:color="auto" w:frame="1"/>
        </w:rPr>
        <w:t xml:space="preserve"> </w:t>
      </w:r>
      <w:r>
        <w:rPr>
          <w:rFonts w:cstheme="minorHAnsi"/>
          <w:bCs/>
          <w:color w:val="000000"/>
          <w:bdr w:val="none" w:sz="0" w:space="0" w:color="auto" w:frame="1"/>
        </w:rPr>
        <w:t>so prikazani podatki o njihovem predpisovanju v zadnjih 5 letih: število oseb, število receptov in poraba v št. DDD. Vsaka oseba se šteje le enkrat v posameznem letu.</w:t>
      </w:r>
    </w:p>
    <w:p w14:paraId="1FBEC31C" w14:textId="77777777" w:rsidR="00D53A7F" w:rsidRPr="00674902" w:rsidRDefault="00D53A7F" w:rsidP="00D53A7F">
      <w:pPr>
        <w:spacing w:after="0" w:line="240" w:lineRule="auto"/>
        <w:rPr>
          <w:rFonts w:cstheme="minorHAnsi"/>
          <w:bCs/>
          <w:color w:val="000000"/>
          <w:sz w:val="10"/>
          <w:szCs w:val="10"/>
          <w:bdr w:val="none" w:sz="0" w:space="0" w:color="auto" w:frame="1"/>
        </w:rPr>
      </w:pPr>
    </w:p>
    <w:p w14:paraId="744FCAF5" w14:textId="53A26652" w:rsidR="00D53A7F" w:rsidRDefault="00D53A7F" w:rsidP="00D53A7F">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674902">
        <w:rPr>
          <w:rFonts w:cstheme="minorHAnsi"/>
          <w:bCs/>
          <w:i/>
          <w:iCs/>
          <w:color w:val="000000"/>
          <w:bdr w:val="none" w:sz="0" w:space="0" w:color="auto" w:frame="1"/>
        </w:rPr>
        <w:t xml:space="preserve">Predpisovanje </w:t>
      </w:r>
      <w:r w:rsidRPr="00D53A7F">
        <w:rPr>
          <w:rFonts w:cstheme="minorHAnsi"/>
          <w:bCs/>
          <w:i/>
          <w:iCs/>
          <w:color w:val="000000"/>
          <w:bdr w:val="none" w:sz="0" w:space="0" w:color="auto" w:frame="1"/>
        </w:rPr>
        <w:t>nesteroidnih protivnetnih in protirevmatičnih zdravil</w:t>
      </w:r>
      <w:r>
        <w:rPr>
          <w:rFonts w:cstheme="minorHAnsi"/>
          <w:bCs/>
          <w:i/>
          <w:iCs/>
          <w:color w:val="000000"/>
          <w:bdr w:val="none" w:sz="0" w:space="0" w:color="auto" w:frame="1"/>
        </w:rPr>
        <w:t xml:space="preserve"> </w:t>
      </w:r>
      <w:r w:rsidRPr="00674902">
        <w:rPr>
          <w:rFonts w:cstheme="minorHAnsi"/>
          <w:bCs/>
          <w:i/>
          <w:iCs/>
          <w:color w:val="000000"/>
          <w:bdr w:val="none" w:sz="0" w:space="0" w:color="auto" w:frame="1"/>
        </w:rPr>
        <w:t xml:space="preserve">po </w:t>
      </w:r>
      <w:proofErr w:type="gramStart"/>
      <w:r w:rsidRPr="00674902">
        <w:rPr>
          <w:rFonts w:cstheme="minorHAnsi"/>
          <w:bCs/>
          <w:i/>
          <w:iCs/>
          <w:color w:val="000000"/>
          <w:bdr w:val="none" w:sz="0" w:space="0" w:color="auto" w:frame="1"/>
        </w:rPr>
        <w:t>ATC šifrah</w:t>
      </w:r>
      <w:proofErr w:type="gramEnd"/>
      <w:r w:rsidRPr="00674902">
        <w:rPr>
          <w:rFonts w:cstheme="minorHAnsi"/>
          <w:bCs/>
          <w:i/>
          <w:iCs/>
          <w:color w:val="000000"/>
          <w:bdr w:val="none" w:sz="0" w:space="0" w:color="auto" w:frame="1"/>
        </w:rPr>
        <w:t xml:space="preserve"> v letu …</w:t>
      </w:r>
      <w:r>
        <w:rPr>
          <w:rFonts w:cstheme="minorHAnsi"/>
          <w:bCs/>
          <w:color w:val="000000"/>
          <w:bdr w:val="none" w:sz="0" w:space="0" w:color="auto" w:frame="1"/>
        </w:rPr>
        <w:t xml:space="preserve"> so p</w:t>
      </w:r>
      <w:r w:rsidRPr="00AF74DE">
        <w:rPr>
          <w:rFonts w:cstheme="minorHAnsi"/>
          <w:bCs/>
          <w:color w:val="000000"/>
          <w:bdr w:val="none" w:sz="0" w:space="0" w:color="auto" w:frame="1"/>
        </w:rPr>
        <w:t xml:space="preserve">rikazani podatki </w:t>
      </w:r>
      <w:r>
        <w:rPr>
          <w:rFonts w:cstheme="minorHAnsi"/>
          <w:bCs/>
          <w:color w:val="000000"/>
          <w:bdr w:val="none" w:sz="0" w:space="0" w:color="auto" w:frame="1"/>
        </w:rPr>
        <w:t xml:space="preserve">po posameznih </w:t>
      </w:r>
      <w:proofErr w:type="gramStart"/>
      <w:r>
        <w:rPr>
          <w:rFonts w:cstheme="minorHAnsi"/>
          <w:bCs/>
          <w:color w:val="000000"/>
          <w:bdr w:val="none" w:sz="0" w:space="0" w:color="auto" w:frame="1"/>
        </w:rPr>
        <w:t>ATC šifrah</w:t>
      </w:r>
      <w:proofErr w:type="gramEnd"/>
      <w:r>
        <w:rPr>
          <w:rFonts w:cstheme="minorHAnsi"/>
          <w:bCs/>
          <w:color w:val="000000"/>
          <w:bdr w:val="none" w:sz="0" w:space="0" w:color="auto" w:frame="1"/>
        </w:rPr>
        <w:t xml:space="preserve"> oz. učinkovinah v </w:t>
      </w:r>
      <w:r w:rsidRPr="00AF74DE">
        <w:rPr>
          <w:rFonts w:cstheme="minorHAnsi"/>
          <w:bCs/>
          <w:color w:val="000000"/>
          <w:bdr w:val="none" w:sz="0" w:space="0" w:color="auto" w:frame="1"/>
        </w:rPr>
        <w:t>zadnje</w:t>
      </w:r>
      <w:r>
        <w:rPr>
          <w:rFonts w:cstheme="minorHAnsi"/>
          <w:bCs/>
          <w:color w:val="000000"/>
          <w:bdr w:val="none" w:sz="0" w:space="0" w:color="auto" w:frame="1"/>
        </w:rPr>
        <w:t>m</w:t>
      </w:r>
      <w:r w:rsidRPr="00AF74DE">
        <w:rPr>
          <w:rFonts w:cstheme="minorHAnsi"/>
          <w:bCs/>
          <w:color w:val="000000"/>
          <w:bdr w:val="none" w:sz="0" w:space="0" w:color="auto" w:frame="1"/>
        </w:rPr>
        <w:t xml:space="preserve"> let</w:t>
      </w:r>
      <w:r>
        <w:rPr>
          <w:rFonts w:cstheme="minorHAnsi"/>
          <w:bCs/>
          <w:color w:val="000000"/>
          <w:bdr w:val="none" w:sz="0" w:space="0" w:color="auto" w:frame="1"/>
        </w:rPr>
        <w:t xml:space="preserve">u: število oseb, število receptov ter poraba v številu DDD in odstotnih deležih (% DDD). </w:t>
      </w:r>
      <w:r w:rsidRPr="00AF74DE">
        <w:rPr>
          <w:rFonts w:cstheme="minorHAnsi"/>
          <w:bCs/>
          <w:color w:val="000000"/>
          <w:bdr w:val="none" w:sz="0" w:space="0" w:color="auto" w:frame="1"/>
        </w:rPr>
        <w:t xml:space="preserve"> </w:t>
      </w:r>
      <w:r>
        <w:rPr>
          <w:rFonts w:cstheme="minorHAnsi"/>
          <w:bCs/>
          <w:color w:val="000000"/>
          <w:bdr w:val="none" w:sz="0" w:space="0" w:color="auto" w:frame="1"/>
        </w:rPr>
        <w:t xml:space="preserve"> </w:t>
      </w:r>
    </w:p>
    <w:p w14:paraId="732D19B1" w14:textId="77777777" w:rsidR="00D110E3" w:rsidRDefault="00D110E3" w:rsidP="00A6766C">
      <w:pPr>
        <w:spacing w:after="0" w:line="240" w:lineRule="auto"/>
        <w:rPr>
          <w:rFonts w:cstheme="minorHAnsi"/>
          <w:b/>
          <w:bCs/>
          <w:color w:val="000000"/>
          <w:sz w:val="24"/>
          <w:bdr w:val="none" w:sz="0" w:space="0" w:color="auto" w:frame="1"/>
        </w:rPr>
      </w:pPr>
    </w:p>
    <w:p w14:paraId="243F88EC" w14:textId="4B193A67" w:rsidR="00986994" w:rsidRDefault="00986994" w:rsidP="00986994">
      <w:pPr>
        <w:spacing w:after="0" w:line="240" w:lineRule="auto"/>
        <w:jc w:val="both"/>
        <w:rPr>
          <w:rFonts w:cstheme="minorHAnsi"/>
          <w:b/>
          <w:bCs/>
          <w:color w:val="000000"/>
          <w:sz w:val="24"/>
          <w:bdr w:val="none" w:sz="0" w:space="0" w:color="auto" w:frame="1"/>
        </w:rPr>
      </w:pPr>
      <w:r w:rsidRPr="0093018F">
        <w:rPr>
          <w:rFonts w:cstheme="minorHAnsi"/>
          <w:b/>
          <w:bCs/>
          <w:color w:val="000000"/>
          <w:sz w:val="24"/>
          <w:bdr w:val="none" w:sz="0" w:space="0" w:color="auto" w:frame="1"/>
        </w:rPr>
        <w:t>2.</w:t>
      </w:r>
      <w:r w:rsidR="00D53A7F">
        <w:rPr>
          <w:rFonts w:cstheme="minorHAnsi"/>
          <w:b/>
          <w:bCs/>
          <w:color w:val="000000"/>
          <w:sz w:val="24"/>
          <w:bdr w:val="none" w:sz="0" w:space="0" w:color="auto" w:frame="1"/>
        </w:rPr>
        <w:t>6</w:t>
      </w:r>
      <w:r w:rsidRPr="0093018F">
        <w:rPr>
          <w:rFonts w:cstheme="minorHAnsi"/>
          <w:b/>
          <w:bCs/>
          <w:color w:val="000000"/>
          <w:sz w:val="24"/>
          <w:bdr w:val="none" w:sz="0" w:space="0" w:color="auto" w:frame="1"/>
        </w:rPr>
        <w:t xml:space="preserve">. </w:t>
      </w:r>
      <w:r w:rsidR="00FF5A29">
        <w:rPr>
          <w:rFonts w:cstheme="minorHAnsi"/>
          <w:b/>
          <w:bCs/>
          <w:color w:val="000000"/>
          <w:sz w:val="24"/>
          <w:bdr w:val="none" w:sz="0" w:space="0" w:color="auto" w:frame="1"/>
        </w:rPr>
        <w:t>P</w:t>
      </w:r>
      <w:r>
        <w:rPr>
          <w:rFonts w:cstheme="minorHAnsi"/>
          <w:b/>
          <w:bCs/>
          <w:color w:val="000000"/>
          <w:sz w:val="24"/>
          <w:bdr w:val="none" w:sz="0" w:space="0" w:color="auto" w:frame="1"/>
        </w:rPr>
        <w:t>rotibolečinsk</w:t>
      </w:r>
      <w:r w:rsidR="00FF5A29">
        <w:rPr>
          <w:rFonts w:cstheme="minorHAnsi"/>
          <w:b/>
          <w:bCs/>
          <w:color w:val="000000"/>
          <w:sz w:val="24"/>
          <w:bdr w:val="none" w:sz="0" w:space="0" w:color="auto" w:frame="1"/>
        </w:rPr>
        <w:t>a</w:t>
      </w:r>
      <w:r>
        <w:rPr>
          <w:rFonts w:cstheme="minorHAnsi"/>
          <w:b/>
          <w:bCs/>
          <w:color w:val="000000"/>
          <w:sz w:val="24"/>
          <w:bdr w:val="none" w:sz="0" w:space="0" w:color="auto" w:frame="1"/>
        </w:rPr>
        <w:t xml:space="preserve"> zdravil</w:t>
      </w:r>
      <w:r w:rsidR="00FF5A29">
        <w:rPr>
          <w:rFonts w:cstheme="minorHAnsi"/>
          <w:b/>
          <w:bCs/>
          <w:color w:val="000000"/>
          <w:sz w:val="24"/>
          <w:bdr w:val="none" w:sz="0" w:space="0" w:color="auto" w:frame="1"/>
        </w:rPr>
        <w:t>a</w:t>
      </w:r>
    </w:p>
    <w:p w14:paraId="347495AF" w14:textId="77777777" w:rsidR="00986994" w:rsidRDefault="00986994" w:rsidP="00986994">
      <w:pPr>
        <w:spacing w:after="0" w:line="240" w:lineRule="auto"/>
        <w:jc w:val="both"/>
        <w:rPr>
          <w:rFonts w:cstheme="minorHAnsi"/>
          <w:b/>
          <w:bCs/>
          <w:color w:val="000000"/>
          <w:sz w:val="24"/>
          <w:bdr w:val="none" w:sz="0" w:space="0" w:color="auto" w:frame="1"/>
        </w:rPr>
      </w:pPr>
    </w:p>
    <w:p w14:paraId="456FB6E1" w14:textId="77777777" w:rsidR="00FF5A29" w:rsidRPr="00B66BD6" w:rsidRDefault="00FF5A29" w:rsidP="00D53A7F">
      <w:pPr>
        <w:pStyle w:val="Brezrazmikov"/>
        <w:rPr>
          <w:rFonts w:cstheme="minorHAnsi"/>
          <w:bCs/>
          <w:color w:val="000000"/>
          <w:u w:val="single"/>
          <w:bdr w:val="none" w:sz="0" w:space="0" w:color="auto" w:frame="1"/>
        </w:rPr>
      </w:pPr>
      <w:r w:rsidRPr="00B66BD6">
        <w:rPr>
          <w:rFonts w:cstheme="minorHAnsi"/>
          <w:u w:val="single"/>
        </w:rPr>
        <w:t xml:space="preserve">KK12 – </w:t>
      </w:r>
      <w:proofErr w:type="gramStart"/>
      <w:r w:rsidRPr="00B66BD6">
        <w:rPr>
          <w:rFonts w:cstheme="minorHAnsi"/>
          <w:u w:val="single"/>
        </w:rPr>
        <w:t>prevalenca</w:t>
      </w:r>
      <w:proofErr w:type="gramEnd"/>
      <w:r w:rsidRPr="00B66BD6">
        <w:rPr>
          <w:rFonts w:cstheme="minorHAnsi"/>
          <w:u w:val="single"/>
        </w:rPr>
        <w:t xml:space="preserve"> prejemnikov </w:t>
      </w:r>
      <w:r w:rsidRPr="00B66BD6">
        <w:rPr>
          <w:rFonts w:cstheme="minorHAnsi"/>
          <w:bCs/>
          <w:color w:val="000000"/>
          <w:u w:val="single"/>
          <w:bdr w:val="none" w:sz="0" w:space="0" w:color="auto" w:frame="1"/>
        </w:rPr>
        <w:t>protibolečinskih zdravil</w:t>
      </w:r>
    </w:p>
    <w:p w14:paraId="69C79E44" w14:textId="77777777" w:rsidR="00FF5A29" w:rsidRPr="008B2E2A" w:rsidRDefault="00FF5A29" w:rsidP="00FF5A29">
      <w:pPr>
        <w:pStyle w:val="Brezrazmikov"/>
        <w:jc w:val="both"/>
        <w:rPr>
          <w:rFonts w:cstheme="minorHAnsi"/>
        </w:rPr>
      </w:pPr>
      <w:r w:rsidRPr="008B2E2A">
        <w:rPr>
          <w:rFonts w:cstheme="minorHAnsi"/>
        </w:rPr>
        <w:t>Podatek kaže</w:t>
      </w:r>
      <w:r>
        <w:rPr>
          <w:rFonts w:cstheme="minorHAnsi"/>
        </w:rPr>
        <w:t xml:space="preserve"> število</w:t>
      </w:r>
      <w:r w:rsidRPr="008B2E2A">
        <w:rPr>
          <w:rFonts w:cstheme="minorHAnsi"/>
        </w:rPr>
        <w:t xml:space="preserve"> zavarovanih oseb</w:t>
      </w:r>
      <w:r>
        <w:rPr>
          <w:rFonts w:cstheme="minorHAnsi"/>
        </w:rPr>
        <w:t>, ki so</w:t>
      </w:r>
      <w:r w:rsidRPr="008B2E2A">
        <w:rPr>
          <w:rFonts w:cstheme="minorHAnsi"/>
        </w:rPr>
        <w:t xml:space="preserve"> prejel</w:t>
      </w:r>
      <w:r>
        <w:rPr>
          <w:rFonts w:cstheme="minorHAnsi"/>
        </w:rPr>
        <w:t>e</w:t>
      </w:r>
      <w:r w:rsidRPr="008B2E2A">
        <w:rPr>
          <w:rFonts w:cstheme="minorHAnsi"/>
        </w:rPr>
        <w:t xml:space="preserve"> vsaj en recept za </w:t>
      </w:r>
      <w:r w:rsidRPr="00EE1AEA">
        <w:rPr>
          <w:rFonts w:cstheme="minorHAnsi"/>
          <w:bCs/>
        </w:rPr>
        <w:t>proti</w:t>
      </w:r>
      <w:r>
        <w:rPr>
          <w:rFonts w:cstheme="minorHAnsi"/>
          <w:bCs/>
        </w:rPr>
        <w:t>bolečinska</w:t>
      </w:r>
      <w:r w:rsidRPr="00EE1AEA">
        <w:rPr>
          <w:rFonts w:cstheme="minorHAnsi"/>
          <w:bCs/>
        </w:rPr>
        <w:t xml:space="preserve"> zdravil</w:t>
      </w:r>
      <w:r>
        <w:rPr>
          <w:rFonts w:cstheme="minorHAnsi"/>
          <w:bCs/>
        </w:rPr>
        <w:t>a</w:t>
      </w:r>
      <w:r w:rsidRPr="00EE1AEA">
        <w:rPr>
          <w:rFonts w:cstheme="minorHAnsi"/>
        </w:rPr>
        <w:t xml:space="preserve"> </w:t>
      </w:r>
      <w:r>
        <w:rPr>
          <w:rFonts w:cstheme="minorHAnsi"/>
        </w:rPr>
        <w:t>(</w:t>
      </w:r>
      <w:proofErr w:type="gramStart"/>
      <w:r>
        <w:rPr>
          <w:rFonts w:cstheme="minorHAnsi"/>
        </w:rPr>
        <w:t>ATC</w:t>
      </w:r>
      <w:proofErr w:type="gramEnd"/>
      <w:r>
        <w:rPr>
          <w:rFonts w:cstheme="minorHAnsi"/>
        </w:rPr>
        <w:t xml:space="preserve"> N02),</w:t>
      </w:r>
      <w:r w:rsidRPr="008346BE">
        <w:rPr>
          <w:rFonts w:cstheme="minorHAnsi"/>
          <w:bCs/>
          <w:color w:val="000000"/>
          <w:bdr w:val="none" w:sz="0" w:space="0" w:color="auto" w:frame="1"/>
        </w:rPr>
        <w:t xml:space="preserve"> </w:t>
      </w:r>
      <w:r>
        <w:rPr>
          <w:rFonts w:cstheme="minorHAnsi"/>
          <w:bCs/>
          <w:color w:val="000000"/>
          <w:bdr w:val="none" w:sz="0" w:space="0" w:color="auto" w:frame="1"/>
        </w:rPr>
        <w:t>preračunano</w:t>
      </w:r>
      <w:r w:rsidRPr="00F901EE">
        <w:rPr>
          <w:rFonts w:cstheme="minorHAnsi"/>
          <w:bCs/>
          <w:color w:val="000000"/>
          <w:bdr w:val="none" w:sz="0" w:space="0" w:color="auto" w:frame="1"/>
        </w:rPr>
        <w:t xml:space="preserve"> na 1</w:t>
      </w:r>
      <w:r>
        <w:rPr>
          <w:rFonts w:cstheme="minorHAnsi"/>
          <w:bCs/>
          <w:color w:val="000000"/>
          <w:bdr w:val="none" w:sz="0" w:space="0" w:color="auto" w:frame="1"/>
        </w:rPr>
        <w:t>.</w:t>
      </w:r>
      <w:r w:rsidRPr="00F901EE">
        <w:rPr>
          <w:rFonts w:cstheme="minorHAnsi"/>
          <w:bCs/>
          <w:color w:val="000000"/>
          <w:bdr w:val="none" w:sz="0" w:space="0" w:color="auto" w:frame="1"/>
        </w:rPr>
        <w:t>000 prejemnikov receptov</w:t>
      </w:r>
      <w:r w:rsidRPr="008B2E2A">
        <w:rPr>
          <w:rFonts w:cstheme="minorHAnsi"/>
        </w:rPr>
        <w:t>.</w:t>
      </w:r>
      <w:r>
        <w:rPr>
          <w:rFonts w:cstheme="minorHAnsi"/>
        </w:rPr>
        <w:t xml:space="preserve"> </w:t>
      </w:r>
      <w:r w:rsidRPr="008B2E2A">
        <w:rPr>
          <w:rFonts w:cstheme="minorHAnsi"/>
        </w:rPr>
        <w:t>Nižji rezultat od povprečja kaže, da je ta zdravila prejelo manj oseb od slovenskega povprečja.</w:t>
      </w:r>
    </w:p>
    <w:p w14:paraId="2A0F9050" w14:textId="77777777" w:rsidR="00FF5A29" w:rsidRPr="008346BE" w:rsidRDefault="00FF5A29" w:rsidP="00FF5A29">
      <w:pPr>
        <w:spacing w:after="0" w:line="240" w:lineRule="auto"/>
        <w:jc w:val="both"/>
        <w:rPr>
          <w:rFonts w:cstheme="minorHAnsi"/>
          <w:b/>
          <w:bCs/>
          <w:color w:val="000000"/>
          <w:sz w:val="10"/>
          <w:szCs w:val="10"/>
          <w:bdr w:val="none" w:sz="0" w:space="0" w:color="auto" w:frame="1"/>
        </w:rPr>
      </w:pPr>
    </w:p>
    <w:p w14:paraId="32201F56" w14:textId="77777777" w:rsidR="00FF5A29" w:rsidRPr="008B2E2A" w:rsidRDefault="00FF5A29" w:rsidP="00FF5A29">
      <w:pPr>
        <w:spacing w:after="0" w:line="240" w:lineRule="auto"/>
        <w:rPr>
          <w:color w:val="7F7F7F" w:themeColor="text1" w:themeTint="80"/>
          <w:u w:val="single"/>
        </w:rPr>
      </w:pPr>
      <w:r w:rsidRPr="008B2E2A">
        <w:rPr>
          <w:u w:val="single"/>
        </w:rPr>
        <w:t>KK</w:t>
      </w:r>
      <w:r>
        <w:rPr>
          <w:u w:val="single"/>
        </w:rPr>
        <w:t>13</w:t>
      </w:r>
      <w:r w:rsidRPr="008B2E2A">
        <w:rPr>
          <w:u w:val="single"/>
        </w:rPr>
        <w:t xml:space="preserve"> – poraba </w:t>
      </w:r>
      <w:r>
        <w:rPr>
          <w:u w:val="single"/>
        </w:rPr>
        <w:t xml:space="preserve">protibolečinskih zdravil </w:t>
      </w:r>
      <w:r w:rsidRPr="008B2E2A">
        <w:rPr>
          <w:u w:val="single"/>
        </w:rPr>
        <w:t>na prejemnika</w:t>
      </w:r>
    </w:p>
    <w:p w14:paraId="155EEAA8" w14:textId="77777777" w:rsidR="00FF5A29" w:rsidRPr="008B2E2A" w:rsidRDefault="00FF5A29" w:rsidP="00FF5A29">
      <w:pPr>
        <w:spacing w:after="0" w:line="240" w:lineRule="auto"/>
        <w:jc w:val="both"/>
      </w:pPr>
      <w:r w:rsidRPr="008B2E2A">
        <w:t xml:space="preserve">Podatek kaže povprečno porabo </w:t>
      </w:r>
      <w:r>
        <w:t xml:space="preserve">(v DDD) </w:t>
      </w:r>
      <w:bookmarkStart w:id="3" w:name="_Hlk50627837"/>
      <w:r>
        <w:t xml:space="preserve">protibolečinskih zdravil </w:t>
      </w:r>
      <w:bookmarkEnd w:id="3"/>
      <w:r w:rsidRPr="008B2E2A">
        <w:t>na prejemnika teh receptov. Nižji rezultat od povprečja kaže, da so bila ta zdravila v povprečju predpisana manj osebam od slovenskega povprečja in/ali v nižjih odmerkih.</w:t>
      </w:r>
    </w:p>
    <w:p w14:paraId="755CDC49" w14:textId="77777777" w:rsidR="00FF5A29" w:rsidRPr="007B0901" w:rsidRDefault="00FF5A29" w:rsidP="00FF5A29">
      <w:pPr>
        <w:spacing w:after="0" w:line="240" w:lineRule="auto"/>
        <w:jc w:val="both"/>
        <w:rPr>
          <w:rFonts w:cstheme="minorHAnsi"/>
          <w:bCs/>
          <w:color w:val="000000"/>
          <w:sz w:val="20"/>
          <w:szCs w:val="20"/>
          <w:bdr w:val="none" w:sz="0" w:space="0" w:color="auto" w:frame="1"/>
        </w:rPr>
      </w:pPr>
    </w:p>
    <w:p w14:paraId="71ED3309" w14:textId="4CAA41B3" w:rsidR="00D625B0" w:rsidRDefault="00D625B0" w:rsidP="00D625B0">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2B0017">
        <w:rPr>
          <w:rFonts w:cstheme="minorHAnsi"/>
          <w:bCs/>
          <w:i/>
          <w:iCs/>
          <w:color w:val="000000"/>
          <w:bdr w:val="none" w:sz="0" w:space="0" w:color="auto" w:frame="1"/>
        </w:rPr>
        <w:t xml:space="preserve">Zbirni podatki o predpisovanju </w:t>
      </w:r>
      <w:r w:rsidRPr="00D625B0">
        <w:rPr>
          <w:rFonts w:cstheme="minorHAnsi"/>
          <w:bCs/>
          <w:i/>
          <w:iCs/>
          <w:color w:val="000000"/>
          <w:bdr w:val="none" w:sz="0" w:space="0" w:color="auto" w:frame="1"/>
        </w:rPr>
        <w:t xml:space="preserve">protibolečinskih zdravil </w:t>
      </w:r>
      <w:r>
        <w:rPr>
          <w:rFonts w:cstheme="minorHAnsi"/>
          <w:bCs/>
          <w:color w:val="000000"/>
          <w:bdr w:val="none" w:sz="0" w:space="0" w:color="auto" w:frame="1"/>
        </w:rPr>
        <w:t>so prikazani podatki o njihovem predpisovanju v zadnjih 5 letih: število oseb, število receptov in poraba v št. DDD. Vsaka oseba se šteje le enkrat v posameznem letu.</w:t>
      </w:r>
    </w:p>
    <w:p w14:paraId="33CBD8FB" w14:textId="77777777" w:rsidR="00D625B0" w:rsidRPr="00674902" w:rsidRDefault="00D625B0" w:rsidP="00D625B0">
      <w:pPr>
        <w:spacing w:after="0" w:line="240" w:lineRule="auto"/>
        <w:rPr>
          <w:rFonts w:cstheme="minorHAnsi"/>
          <w:bCs/>
          <w:color w:val="000000"/>
          <w:sz w:val="10"/>
          <w:szCs w:val="10"/>
          <w:bdr w:val="none" w:sz="0" w:space="0" w:color="auto" w:frame="1"/>
        </w:rPr>
      </w:pPr>
    </w:p>
    <w:p w14:paraId="2E4FE0A3" w14:textId="651EFBBC" w:rsidR="00D625B0" w:rsidRDefault="00D625B0" w:rsidP="00D625B0">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 xml:space="preserve">V tabeli </w:t>
      </w:r>
      <w:r w:rsidRPr="00674902">
        <w:rPr>
          <w:rFonts w:cstheme="minorHAnsi"/>
          <w:bCs/>
          <w:i/>
          <w:iCs/>
          <w:color w:val="000000"/>
          <w:bdr w:val="none" w:sz="0" w:space="0" w:color="auto" w:frame="1"/>
        </w:rPr>
        <w:t xml:space="preserve">Predpisovanje </w:t>
      </w:r>
      <w:r w:rsidRPr="00D625B0">
        <w:rPr>
          <w:rFonts w:cstheme="minorHAnsi"/>
          <w:bCs/>
          <w:i/>
          <w:iCs/>
          <w:color w:val="000000"/>
          <w:bdr w:val="none" w:sz="0" w:space="0" w:color="auto" w:frame="1"/>
        </w:rPr>
        <w:t xml:space="preserve">protibolečinskih zdravil </w:t>
      </w:r>
      <w:r w:rsidRPr="00674902">
        <w:rPr>
          <w:rFonts w:cstheme="minorHAnsi"/>
          <w:bCs/>
          <w:i/>
          <w:iCs/>
          <w:color w:val="000000"/>
          <w:bdr w:val="none" w:sz="0" w:space="0" w:color="auto" w:frame="1"/>
        </w:rPr>
        <w:t xml:space="preserve">po </w:t>
      </w:r>
      <w:proofErr w:type="gramStart"/>
      <w:r w:rsidRPr="00674902">
        <w:rPr>
          <w:rFonts w:cstheme="minorHAnsi"/>
          <w:bCs/>
          <w:i/>
          <w:iCs/>
          <w:color w:val="000000"/>
          <w:bdr w:val="none" w:sz="0" w:space="0" w:color="auto" w:frame="1"/>
        </w:rPr>
        <w:t>ATC šifrah</w:t>
      </w:r>
      <w:proofErr w:type="gramEnd"/>
      <w:r w:rsidRPr="00674902">
        <w:rPr>
          <w:rFonts w:cstheme="minorHAnsi"/>
          <w:bCs/>
          <w:i/>
          <w:iCs/>
          <w:color w:val="000000"/>
          <w:bdr w:val="none" w:sz="0" w:space="0" w:color="auto" w:frame="1"/>
        </w:rPr>
        <w:t xml:space="preserve"> v letu …</w:t>
      </w:r>
      <w:r>
        <w:rPr>
          <w:rFonts w:cstheme="minorHAnsi"/>
          <w:bCs/>
          <w:color w:val="000000"/>
          <w:bdr w:val="none" w:sz="0" w:space="0" w:color="auto" w:frame="1"/>
        </w:rPr>
        <w:t xml:space="preserve"> so p</w:t>
      </w:r>
      <w:r w:rsidRPr="00AF74DE">
        <w:rPr>
          <w:rFonts w:cstheme="minorHAnsi"/>
          <w:bCs/>
          <w:color w:val="000000"/>
          <w:bdr w:val="none" w:sz="0" w:space="0" w:color="auto" w:frame="1"/>
        </w:rPr>
        <w:t xml:space="preserve">rikazani podatki </w:t>
      </w:r>
      <w:r>
        <w:rPr>
          <w:rFonts w:cstheme="minorHAnsi"/>
          <w:bCs/>
          <w:color w:val="000000"/>
          <w:bdr w:val="none" w:sz="0" w:space="0" w:color="auto" w:frame="1"/>
        </w:rPr>
        <w:t xml:space="preserve">po posameznih </w:t>
      </w:r>
      <w:proofErr w:type="gramStart"/>
      <w:r>
        <w:rPr>
          <w:rFonts w:cstheme="minorHAnsi"/>
          <w:bCs/>
          <w:color w:val="000000"/>
          <w:bdr w:val="none" w:sz="0" w:space="0" w:color="auto" w:frame="1"/>
        </w:rPr>
        <w:t>ATC šifrah</w:t>
      </w:r>
      <w:proofErr w:type="gramEnd"/>
      <w:r>
        <w:rPr>
          <w:rFonts w:cstheme="minorHAnsi"/>
          <w:bCs/>
          <w:color w:val="000000"/>
          <w:bdr w:val="none" w:sz="0" w:space="0" w:color="auto" w:frame="1"/>
        </w:rPr>
        <w:t xml:space="preserve"> oz. učinkovinah v </w:t>
      </w:r>
      <w:r w:rsidRPr="00AF74DE">
        <w:rPr>
          <w:rFonts w:cstheme="minorHAnsi"/>
          <w:bCs/>
          <w:color w:val="000000"/>
          <w:bdr w:val="none" w:sz="0" w:space="0" w:color="auto" w:frame="1"/>
        </w:rPr>
        <w:t>zadnje</w:t>
      </w:r>
      <w:r>
        <w:rPr>
          <w:rFonts w:cstheme="minorHAnsi"/>
          <w:bCs/>
          <w:color w:val="000000"/>
          <w:bdr w:val="none" w:sz="0" w:space="0" w:color="auto" w:frame="1"/>
        </w:rPr>
        <w:t>m</w:t>
      </w:r>
      <w:r w:rsidRPr="00AF74DE">
        <w:rPr>
          <w:rFonts w:cstheme="minorHAnsi"/>
          <w:bCs/>
          <w:color w:val="000000"/>
          <w:bdr w:val="none" w:sz="0" w:space="0" w:color="auto" w:frame="1"/>
        </w:rPr>
        <w:t xml:space="preserve"> let</w:t>
      </w:r>
      <w:r>
        <w:rPr>
          <w:rFonts w:cstheme="minorHAnsi"/>
          <w:bCs/>
          <w:color w:val="000000"/>
          <w:bdr w:val="none" w:sz="0" w:space="0" w:color="auto" w:frame="1"/>
        </w:rPr>
        <w:t xml:space="preserve">u: število oseb, število receptov ter poraba v številu DDD in odstotnih deležih (% DDD). </w:t>
      </w:r>
      <w:r w:rsidRPr="00AF74DE">
        <w:rPr>
          <w:rFonts w:cstheme="minorHAnsi"/>
          <w:bCs/>
          <w:color w:val="000000"/>
          <w:bdr w:val="none" w:sz="0" w:space="0" w:color="auto" w:frame="1"/>
        </w:rPr>
        <w:t xml:space="preserve"> </w:t>
      </w:r>
      <w:r>
        <w:rPr>
          <w:rFonts w:cstheme="minorHAnsi"/>
          <w:bCs/>
          <w:color w:val="000000"/>
          <w:bdr w:val="none" w:sz="0" w:space="0" w:color="auto" w:frame="1"/>
        </w:rPr>
        <w:t xml:space="preserve"> </w:t>
      </w:r>
    </w:p>
    <w:p w14:paraId="3DB292F3" w14:textId="1A1F32A2" w:rsidR="00454A76" w:rsidRDefault="00454A76" w:rsidP="00986994">
      <w:pPr>
        <w:spacing w:after="0" w:line="240" w:lineRule="auto"/>
        <w:rPr>
          <w:rFonts w:cstheme="minorHAnsi"/>
          <w:b/>
          <w:bCs/>
          <w:color w:val="000000"/>
          <w:bdr w:val="none" w:sz="0" w:space="0" w:color="auto" w:frame="1"/>
        </w:rPr>
      </w:pPr>
    </w:p>
    <w:p w14:paraId="39E6333D" w14:textId="4F488273" w:rsidR="00CE45FA" w:rsidRDefault="00CE45FA" w:rsidP="00986994">
      <w:pPr>
        <w:spacing w:after="0" w:line="240" w:lineRule="auto"/>
        <w:rPr>
          <w:rFonts w:cstheme="minorHAnsi"/>
          <w:b/>
          <w:bCs/>
          <w:color w:val="000000"/>
          <w:bdr w:val="none" w:sz="0" w:space="0" w:color="auto" w:frame="1"/>
        </w:rPr>
      </w:pPr>
    </w:p>
    <w:p w14:paraId="0C316470" w14:textId="72AD87ED" w:rsidR="0066042A" w:rsidRPr="007809E9" w:rsidRDefault="00986994" w:rsidP="00A6766C">
      <w:pPr>
        <w:spacing w:after="0" w:line="240" w:lineRule="auto"/>
        <w:rPr>
          <w:rFonts w:cstheme="minorHAnsi"/>
          <w:b/>
          <w:bCs/>
          <w:color w:val="000000"/>
          <w:sz w:val="24"/>
          <w:bdr w:val="none" w:sz="0" w:space="0" w:color="auto" w:frame="1"/>
        </w:rPr>
      </w:pPr>
      <w:r>
        <w:rPr>
          <w:rFonts w:cstheme="minorHAnsi"/>
          <w:b/>
          <w:bCs/>
          <w:color w:val="000000"/>
          <w:sz w:val="24"/>
          <w:bdr w:val="none" w:sz="0" w:space="0" w:color="auto" w:frame="1"/>
        </w:rPr>
        <w:lastRenderedPageBreak/>
        <w:t>2.</w:t>
      </w:r>
      <w:r w:rsidR="00D47C4D">
        <w:rPr>
          <w:rFonts w:cstheme="minorHAnsi"/>
          <w:b/>
          <w:bCs/>
          <w:color w:val="000000"/>
          <w:sz w:val="24"/>
          <w:bdr w:val="none" w:sz="0" w:space="0" w:color="auto" w:frame="1"/>
        </w:rPr>
        <w:t>7</w:t>
      </w:r>
      <w:r>
        <w:rPr>
          <w:rFonts w:cstheme="minorHAnsi"/>
          <w:b/>
          <w:bCs/>
          <w:color w:val="000000"/>
          <w:sz w:val="24"/>
          <w:bdr w:val="none" w:sz="0" w:space="0" w:color="auto" w:frame="1"/>
        </w:rPr>
        <w:t xml:space="preserve">. </w:t>
      </w:r>
      <w:r w:rsidR="0066042A" w:rsidRPr="007809E9">
        <w:rPr>
          <w:rFonts w:cstheme="minorHAnsi"/>
          <w:b/>
          <w:bCs/>
          <w:color w:val="000000"/>
          <w:sz w:val="24"/>
          <w:bdr w:val="none" w:sz="0" w:space="0" w:color="auto" w:frame="1"/>
        </w:rPr>
        <w:t>Polifarmakoterapija</w:t>
      </w:r>
    </w:p>
    <w:p w14:paraId="5DE6C346" w14:textId="77777777" w:rsidR="0066042A" w:rsidRDefault="0066042A" w:rsidP="00A6766C">
      <w:pPr>
        <w:spacing w:after="0" w:line="240" w:lineRule="auto"/>
        <w:rPr>
          <w:rFonts w:cstheme="minorHAnsi"/>
          <w:b/>
          <w:bCs/>
          <w:color w:val="000000"/>
          <w:bdr w:val="none" w:sz="0" w:space="0" w:color="auto" w:frame="1"/>
        </w:rPr>
      </w:pPr>
    </w:p>
    <w:p w14:paraId="78DE432C" w14:textId="75AA9965" w:rsidR="00335DB8" w:rsidRPr="008B2E2A" w:rsidRDefault="00335DB8" w:rsidP="00335DB8">
      <w:pPr>
        <w:spacing w:after="0" w:line="240" w:lineRule="auto"/>
        <w:jc w:val="both"/>
        <w:rPr>
          <w:rFonts w:cstheme="minorHAnsi"/>
          <w:bCs/>
          <w:color w:val="000000"/>
          <w:bdr w:val="none" w:sz="0" w:space="0" w:color="auto" w:frame="1"/>
        </w:rPr>
      </w:pPr>
      <w:r w:rsidRPr="008B2E2A">
        <w:rPr>
          <w:rFonts w:cstheme="minorHAnsi"/>
          <w:bCs/>
          <w:color w:val="000000"/>
          <w:bdr w:val="none" w:sz="0" w:space="0" w:color="auto" w:frame="1"/>
        </w:rPr>
        <w:t xml:space="preserve">Učinkovine se razlikuje </w:t>
      </w:r>
      <w:r>
        <w:rPr>
          <w:rFonts w:cstheme="minorHAnsi"/>
          <w:bCs/>
          <w:color w:val="000000"/>
          <w:bdr w:val="none" w:sz="0" w:space="0" w:color="auto" w:frame="1"/>
        </w:rPr>
        <w:t xml:space="preserve">ravni </w:t>
      </w:r>
      <w:r w:rsidRPr="008B2E2A">
        <w:rPr>
          <w:rFonts w:cstheme="minorHAnsi"/>
          <w:bCs/>
          <w:color w:val="000000"/>
          <w:bdr w:val="none" w:sz="0" w:space="0" w:color="auto" w:frame="1"/>
        </w:rPr>
        <w:t>splošn</w:t>
      </w:r>
      <w:r>
        <w:rPr>
          <w:rFonts w:cstheme="minorHAnsi"/>
          <w:bCs/>
          <w:color w:val="000000"/>
          <w:bdr w:val="none" w:sz="0" w:space="0" w:color="auto" w:frame="1"/>
        </w:rPr>
        <w:t>ih</w:t>
      </w:r>
      <w:r w:rsidRPr="008B2E2A">
        <w:rPr>
          <w:rFonts w:cstheme="minorHAnsi"/>
          <w:bCs/>
          <w:color w:val="000000"/>
          <w:bdr w:val="none" w:sz="0" w:space="0" w:color="auto" w:frame="1"/>
        </w:rPr>
        <w:t xml:space="preserve"> ime</w:t>
      </w:r>
      <w:r>
        <w:rPr>
          <w:rFonts w:cstheme="minorHAnsi"/>
          <w:bCs/>
          <w:color w:val="000000"/>
          <w:bdr w:val="none" w:sz="0" w:space="0" w:color="auto" w:frame="1"/>
        </w:rPr>
        <w:t>n</w:t>
      </w:r>
      <w:r w:rsidRPr="008B2E2A">
        <w:rPr>
          <w:rFonts w:cstheme="minorHAnsi"/>
          <w:bCs/>
          <w:color w:val="000000"/>
          <w:bdr w:val="none" w:sz="0" w:space="0" w:color="auto" w:frame="1"/>
        </w:rPr>
        <w:t>.</w:t>
      </w:r>
      <w:r>
        <w:rPr>
          <w:rFonts w:cstheme="minorHAnsi"/>
          <w:bCs/>
          <w:color w:val="000000"/>
          <w:bdr w:val="none" w:sz="0" w:space="0" w:color="auto" w:frame="1"/>
        </w:rPr>
        <w:t xml:space="preserve"> Pri zdravilih z več učinkovinami se štejejo aktivne učinkovine. Primer: kombinacija enalapril/hidroklorotiazid se šteje kot 2 učinkovini</w:t>
      </w:r>
      <w:r w:rsidR="000A473E">
        <w:rPr>
          <w:rFonts w:cstheme="minorHAnsi"/>
          <w:bCs/>
          <w:color w:val="000000"/>
          <w:bdr w:val="none" w:sz="0" w:space="0" w:color="auto" w:frame="1"/>
        </w:rPr>
        <w:t xml:space="preserve">, kombinacija </w:t>
      </w:r>
      <w:r w:rsidR="000A473E" w:rsidRPr="000A473E">
        <w:rPr>
          <w:rFonts w:cstheme="minorHAnsi"/>
          <w:bCs/>
          <w:color w:val="000000"/>
          <w:bdr w:val="none" w:sz="0" w:space="0" w:color="auto" w:frame="1"/>
        </w:rPr>
        <w:t>levodope in karbidope</w:t>
      </w:r>
      <w:r w:rsidR="000A473E">
        <w:rPr>
          <w:rFonts w:cstheme="minorHAnsi"/>
          <w:bCs/>
          <w:color w:val="000000"/>
          <w:bdr w:val="none" w:sz="0" w:space="0" w:color="auto" w:frame="1"/>
        </w:rPr>
        <w:t xml:space="preserve"> pa le kot ena učinkovina</w:t>
      </w:r>
      <w:r>
        <w:rPr>
          <w:rFonts w:cstheme="minorHAnsi"/>
          <w:bCs/>
          <w:color w:val="000000"/>
          <w:bdr w:val="none" w:sz="0" w:space="0" w:color="auto" w:frame="1"/>
        </w:rPr>
        <w:t xml:space="preserve">. </w:t>
      </w:r>
      <w:r w:rsidR="00BF0B93">
        <w:rPr>
          <w:rFonts w:cstheme="minorHAnsi"/>
          <w:bCs/>
          <w:color w:val="000000"/>
          <w:bdr w:val="none" w:sz="0" w:space="0" w:color="auto" w:frame="1"/>
        </w:rPr>
        <w:t>Za izračun polifarmakoterapije se u</w:t>
      </w:r>
      <w:r w:rsidR="00BF0B93" w:rsidRPr="00BF0B93">
        <w:rPr>
          <w:rFonts w:cstheme="minorHAnsi"/>
          <w:bCs/>
          <w:color w:val="000000"/>
          <w:bdr w:val="none" w:sz="0" w:space="0" w:color="auto" w:frame="1"/>
        </w:rPr>
        <w:t xml:space="preserve">poštevajo vsi izdani </w:t>
      </w:r>
      <w:r w:rsidR="00BF0B93">
        <w:rPr>
          <w:rFonts w:cstheme="minorHAnsi"/>
          <w:bCs/>
          <w:color w:val="000000"/>
          <w:bdr w:val="none" w:sz="0" w:space="0" w:color="auto" w:frame="1"/>
        </w:rPr>
        <w:t xml:space="preserve">zeleni in beli </w:t>
      </w:r>
      <w:r w:rsidR="00BF0B93" w:rsidRPr="00BF0B93">
        <w:rPr>
          <w:rFonts w:cstheme="minorHAnsi"/>
          <w:bCs/>
          <w:color w:val="000000"/>
          <w:bdr w:val="none" w:sz="0" w:space="0" w:color="auto" w:frame="1"/>
        </w:rPr>
        <w:t>recepti</w:t>
      </w:r>
      <w:r w:rsidR="00BF0B93">
        <w:rPr>
          <w:rFonts w:cstheme="minorHAnsi"/>
          <w:bCs/>
          <w:color w:val="000000"/>
          <w:bdr w:val="none" w:sz="0" w:space="0" w:color="auto" w:frame="1"/>
        </w:rPr>
        <w:t xml:space="preserve"> zavarovane osebe (ZO) ne glede na to, kdo jih je predpisal</w:t>
      </w:r>
      <w:r w:rsidR="00BF0B93" w:rsidRPr="00BF0B93">
        <w:rPr>
          <w:rFonts w:cstheme="minorHAnsi"/>
          <w:bCs/>
          <w:color w:val="000000"/>
          <w:bdr w:val="none" w:sz="0" w:space="0" w:color="auto" w:frame="1"/>
        </w:rPr>
        <w:t>.</w:t>
      </w:r>
      <w:r w:rsidR="00BF0B93">
        <w:rPr>
          <w:rFonts w:cstheme="minorHAnsi"/>
          <w:bCs/>
          <w:color w:val="000000"/>
          <w:bdr w:val="none" w:sz="0" w:space="0" w:color="auto" w:frame="1"/>
        </w:rPr>
        <w:t xml:space="preserve"> K obravnavanem</w:t>
      </w:r>
      <w:r w:rsidR="000A473E">
        <w:rPr>
          <w:rFonts w:cstheme="minorHAnsi"/>
          <w:bCs/>
          <w:color w:val="000000"/>
          <w:bdr w:val="none" w:sz="0" w:space="0" w:color="auto" w:frame="1"/>
        </w:rPr>
        <w:t>u</w:t>
      </w:r>
      <w:r w:rsidR="00BF0B93">
        <w:rPr>
          <w:rFonts w:cstheme="minorHAnsi"/>
          <w:bCs/>
          <w:color w:val="000000"/>
          <w:bdr w:val="none" w:sz="0" w:space="0" w:color="auto" w:frame="1"/>
        </w:rPr>
        <w:t xml:space="preserve"> zdravniku so prištete vse zanj opredeljene ZO. Neopredeljene ZO se pripišejo tistemu izbranemu osebnemu zdravniku, ki ji je predpisal največ receptov. </w:t>
      </w:r>
      <w:r w:rsidR="006A32B2">
        <w:rPr>
          <w:rFonts w:cstheme="minorHAnsi"/>
          <w:bCs/>
          <w:color w:val="000000"/>
          <w:bdr w:val="none" w:sz="0" w:space="0" w:color="auto" w:frame="1"/>
        </w:rPr>
        <w:t>Polifarmakoterapija se izračuna</w:t>
      </w:r>
      <w:r w:rsidR="00BF0B93">
        <w:rPr>
          <w:rFonts w:cstheme="minorHAnsi"/>
          <w:bCs/>
          <w:color w:val="000000"/>
          <w:bdr w:val="none" w:sz="0" w:space="0" w:color="auto" w:frame="1"/>
        </w:rPr>
        <w:t xml:space="preserve"> tako, da se v</w:t>
      </w:r>
      <w:r w:rsidR="006A32B2">
        <w:rPr>
          <w:rFonts w:cstheme="minorHAnsi"/>
          <w:bCs/>
          <w:color w:val="000000"/>
          <w:bdr w:val="none" w:sz="0" w:space="0" w:color="auto" w:frame="1"/>
        </w:rPr>
        <w:t xml:space="preserve"> vsakem kvartalu (trimesečju) prešteje vse učinkovine v </w:t>
      </w:r>
      <w:r w:rsidR="00BF0B93">
        <w:rPr>
          <w:rFonts w:cstheme="minorHAnsi"/>
          <w:bCs/>
          <w:color w:val="000000"/>
          <w:bdr w:val="none" w:sz="0" w:space="0" w:color="auto" w:frame="1"/>
        </w:rPr>
        <w:t xml:space="preserve">vseh </w:t>
      </w:r>
      <w:r w:rsidR="006A32B2" w:rsidRPr="00BF0B93">
        <w:rPr>
          <w:rFonts w:cstheme="minorHAnsi"/>
          <w:bCs/>
          <w:color w:val="000000"/>
          <w:bdr w:val="none" w:sz="0" w:space="0" w:color="auto" w:frame="1"/>
        </w:rPr>
        <w:t>izdanih receptih</w:t>
      </w:r>
      <w:r w:rsidR="00BF0B93">
        <w:rPr>
          <w:rFonts w:cstheme="minorHAnsi"/>
          <w:bCs/>
          <w:color w:val="000000"/>
          <w:bdr w:val="none" w:sz="0" w:space="0" w:color="auto" w:frame="1"/>
        </w:rPr>
        <w:t xml:space="preserve"> posamezne ZO</w:t>
      </w:r>
      <w:r w:rsidR="006A32B2" w:rsidRPr="00BF0B93">
        <w:rPr>
          <w:rFonts w:cstheme="minorHAnsi"/>
          <w:bCs/>
          <w:color w:val="000000"/>
          <w:bdr w:val="none" w:sz="0" w:space="0" w:color="auto" w:frame="1"/>
        </w:rPr>
        <w:t>. Nato se izračuna povprečje</w:t>
      </w:r>
      <w:r w:rsidR="006A32B2">
        <w:rPr>
          <w:rFonts w:cstheme="minorHAnsi"/>
          <w:bCs/>
          <w:color w:val="000000"/>
          <w:bdr w:val="none" w:sz="0" w:space="0" w:color="auto" w:frame="1"/>
        </w:rPr>
        <w:t xml:space="preserve"> kvartalov posameznega leta. </w:t>
      </w:r>
    </w:p>
    <w:p w14:paraId="01C3DAA9" w14:textId="77777777" w:rsidR="00335DB8" w:rsidRDefault="00335DB8" w:rsidP="00AF74DE">
      <w:pPr>
        <w:spacing w:after="0" w:line="240" w:lineRule="auto"/>
        <w:jc w:val="both"/>
        <w:rPr>
          <w:rFonts w:cstheme="minorHAnsi"/>
          <w:bCs/>
          <w:color w:val="000000"/>
          <w:u w:val="single"/>
          <w:bdr w:val="none" w:sz="0" w:space="0" w:color="auto" w:frame="1"/>
        </w:rPr>
      </w:pPr>
    </w:p>
    <w:p w14:paraId="51A8399E" w14:textId="3BB49980" w:rsidR="008B2E2A" w:rsidRPr="008B2E2A" w:rsidRDefault="008B2E2A" w:rsidP="00AF74DE">
      <w:pPr>
        <w:spacing w:after="0" w:line="240" w:lineRule="auto"/>
        <w:jc w:val="both"/>
        <w:rPr>
          <w:rFonts w:cstheme="minorHAnsi"/>
          <w:bCs/>
          <w:color w:val="000000"/>
          <w:u w:val="single"/>
          <w:bdr w:val="none" w:sz="0" w:space="0" w:color="auto" w:frame="1"/>
        </w:rPr>
      </w:pPr>
      <w:r w:rsidRPr="008B2E2A">
        <w:rPr>
          <w:rFonts w:cstheme="minorHAnsi"/>
          <w:bCs/>
          <w:color w:val="000000"/>
          <w:u w:val="single"/>
          <w:bdr w:val="none" w:sz="0" w:space="0" w:color="auto" w:frame="1"/>
        </w:rPr>
        <w:t>KK</w:t>
      </w:r>
      <w:r w:rsidR="001A1415">
        <w:rPr>
          <w:rFonts w:cstheme="minorHAnsi"/>
          <w:bCs/>
          <w:color w:val="000000"/>
          <w:u w:val="single"/>
          <w:bdr w:val="none" w:sz="0" w:space="0" w:color="auto" w:frame="1"/>
        </w:rPr>
        <w:t>1</w:t>
      </w:r>
      <w:r w:rsidR="00FF5A29">
        <w:rPr>
          <w:rFonts w:cstheme="minorHAnsi"/>
          <w:bCs/>
          <w:color w:val="000000"/>
          <w:u w:val="single"/>
          <w:bdr w:val="none" w:sz="0" w:space="0" w:color="auto" w:frame="1"/>
        </w:rPr>
        <w:t>4</w:t>
      </w:r>
      <w:r w:rsidRPr="008B2E2A">
        <w:rPr>
          <w:rFonts w:cstheme="minorHAnsi"/>
          <w:bCs/>
          <w:color w:val="000000"/>
          <w:u w:val="single"/>
          <w:bdr w:val="none" w:sz="0" w:space="0" w:color="auto" w:frame="1"/>
        </w:rPr>
        <w:t xml:space="preserve"> – število prejemnikov 5 – 9 učinkovin</w:t>
      </w:r>
    </w:p>
    <w:p w14:paraId="3DB75365" w14:textId="354189D8" w:rsidR="008B2E2A" w:rsidRPr="008B2E2A" w:rsidRDefault="00BF0B93" w:rsidP="00AF74DE">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Prikazano je š</w:t>
      </w:r>
      <w:r w:rsidR="008B2E2A" w:rsidRPr="008B2E2A">
        <w:rPr>
          <w:rFonts w:cstheme="minorHAnsi"/>
          <w:bCs/>
          <w:color w:val="000000"/>
          <w:bdr w:val="none" w:sz="0" w:space="0" w:color="auto" w:frame="1"/>
        </w:rPr>
        <w:t xml:space="preserve">tevilo zavarovanih oseb, ki </w:t>
      </w:r>
      <w:r>
        <w:rPr>
          <w:rFonts w:cstheme="minorHAnsi"/>
          <w:bCs/>
          <w:color w:val="000000"/>
          <w:bdr w:val="none" w:sz="0" w:space="0" w:color="auto" w:frame="1"/>
        </w:rPr>
        <w:t xml:space="preserve">so </w:t>
      </w:r>
      <w:r w:rsidR="008B2E2A" w:rsidRPr="008B2E2A">
        <w:rPr>
          <w:rFonts w:cstheme="minorHAnsi"/>
          <w:bCs/>
          <w:color w:val="000000"/>
          <w:bdr w:val="none" w:sz="0" w:space="0" w:color="auto" w:frame="1"/>
        </w:rPr>
        <w:t>prejel</w:t>
      </w:r>
      <w:r>
        <w:rPr>
          <w:rFonts w:cstheme="minorHAnsi"/>
          <w:bCs/>
          <w:color w:val="000000"/>
          <w:bdr w:val="none" w:sz="0" w:space="0" w:color="auto" w:frame="1"/>
        </w:rPr>
        <w:t>e</w:t>
      </w:r>
      <w:r w:rsidR="008B2E2A" w:rsidRPr="008B2E2A">
        <w:rPr>
          <w:rFonts w:cstheme="minorHAnsi"/>
          <w:bCs/>
          <w:color w:val="000000"/>
          <w:bdr w:val="none" w:sz="0" w:space="0" w:color="auto" w:frame="1"/>
        </w:rPr>
        <w:t xml:space="preserve"> 5 </w:t>
      </w:r>
      <w:r w:rsidR="004C3EC5">
        <w:rPr>
          <w:rFonts w:cstheme="minorHAnsi"/>
          <w:bCs/>
          <w:color w:val="000000"/>
          <w:bdr w:val="none" w:sz="0" w:space="0" w:color="auto" w:frame="1"/>
        </w:rPr>
        <w:t>do</w:t>
      </w:r>
      <w:r w:rsidR="008B2E2A" w:rsidRPr="008B2E2A">
        <w:rPr>
          <w:rFonts w:cstheme="minorHAnsi"/>
          <w:bCs/>
          <w:color w:val="000000"/>
          <w:bdr w:val="none" w:sz="0" w:space="0" w:color="auto" w:frame="1"/>
        </w:rPr>
        <w:t xml:space="preserve"> 9 učinkovin</w:t>
      </w:r>
      <w:r w:rsidR="00CF4E9C">
        <w:rPr>
          <w:rFonts w:cstheme="minorHAnsi"/>
          <w:bCs/>
          <w:color w:val="000000"/>
          <w:bdr w:val="none" w:sz="0" w:space="0" w:color="auto" w:frame="1"/>
        </w:rPr>
        <w:t xml:space="preserve"> v zadnjih 5 letih</w:t>
      </w:r>
      <w:r w:rsidR="008B2E2A" w:rsidRPr="008B2E2A">
        <w:rPr>
          <w:rFonts w:cstheme="minorHAnsi"/>
          <w:bCs/>
          <w:color w:val="000000"/>
          <w:bdr w:val="none" w:sz="0" w:space="0" w:color="auto" w:frame="1"/>
        </w:rPr>
        <w:t xml:space="preserve">. </w:t>
      </w:r>
    </w:p>
    <w:p w14:paraId="3D0710E0" w14:textId="77777777" w:rsidR="008B2E2A" w:rsidRDefault="008B2E2A" w:rsidP="00A6766C">
      <w:pPr>
        <w:spacing w:after="0" w:line="240" w:lineRule="auto"/>
        <w:rPr>
          <w:rFonts w:cstheme="minorHAnsi"/>
          <w:b/>
          <w:bCs/>
          <w:color w:val="000000"/>
          <w:bdr w:val="none" w:sz="0" w:space="0" w:color="auto" w:frame="1"/>
        </w:rPr>
      </w:pPr>
    </w:p>
    <w:p w14:paraId="531F2A48" w14:textId="33B74607" w:rsidR="008B2E2A" w:rsidRPr="008B2E2A" w:rsidRDefault="008B2E2A" w:rsidP="008B2E2A">
      <w:pPr>
        <w:spacing w:after="0" w:line="240" w:lineRule="auto"/>
        <w:rPr>
          <w:rFonts w:cstheme="minorHAnsi"/>
          <w:bCs/>
          <w:color w:val="000000"/>
          <w:u w:val="single"/>
          <w:bdr w:val="none" w:sz="0" w:space="0" w:color="auto" w:frame="1"/>
        </w:rPr>
      </w:pPr>
      <w:r w:rsidRPr="008B2E2A">
        <w:rPr>
          <w:rFonts w:cstheme="minorHAnsi"/>
          <w:bCs/>
          <w:color w:val="000000"/>
          <w:u w:val="single"/>
          <w:bdr w:val="none" w:sz="0" w:space="0" w:color="auto" w:frame="1"/>
        </w:rPr>
        <w:t>KK</w:t>
      </w:r>
      <w:r w:rsidR="001A1415">
        <w:rPr>
          <w:rFonts w:cstheme="minorHAnsi"/>
          <w:bCs/>
          <w:color w:val="000000"/>
          <w:u w:val="single"/>
          <w:bdr w:val="none" w:sz="0" w:space="0" w:color="auto" w:frame="1"/>
        </w:rPr>
        <w:t>1</w:t>
      </w:r>
      <w:r w:rsidR="00FF5A29">
        <w:rPr>
          <w:rFonts w:cstheme="minorHAnsi"/>
          <w:bCs/>
          <w:color w:val="000000"/>
          <w:u w:val="single"/>
          <w:bdr w:val="none" w:sz="0" w:space="0" w:color="auto" w:frame="1"/>
        </w:rPr>
        <w:t>5</w:t>
      </w:r>
      <w:r w:rsidRPr="008B2E2A">
        <w:rPr>
          <w:rFonts w:cstheme="minorHAnsi"/>
          <w:bCs/>
          <w:color w:val="000000"/>
          <w:u w:val="single"/>
          <w:bdr w:val="none" w:sz="0" w:space="0" w:color="auto" w:frame="1"/>
        </w:rPr>
        <w:t xml:space="preserve"> – število prejemnikov 10 in več učinkovin</w:t>
      </w:r>
    </w:p>
    <w:p w14:paraId="6DA5DBE1" w14:textId="06125B95" w:rsidR="008B2E2A" w:rsidRPr="008B2E2A" w:rsidRDefault="00BF0B93" w:rsidP="00AF74DE">
      <w:pPr>
        <w:spacing w:after="0" w:line="240" w:lineRule="auto"/>
        <w:jc w:val="both"/>
        <w:rPr>
          <w:rFonts w:cstheme="minorHAnsi"/>
          <w:bCs/>
          <w:color w:val="000000"/>
          <w:bdr w:val="none" w:sz="0" w:space="0" w:color="auto" w:frame="1"/>
        </w:rPr>
      </w:pPr>
      <w:r>
        <w:rPr>
          <w:rFonts w:cstheme="minorHAnsi"/>
          <w:bCs/>
          <w:color w:val="000000"/>
          <w:bdr w:val="none" w:sz="0" w:space="0" w:color="auto" w:frame="1"/>
        </w:rPr>
        <w:t>Prikazano je š</w:t>
      </w:r>
      <w:r w:rsidR="008B2E2A" w:rsidRPr="008B2E2A">
        <w:rPr>
          <w:rFonts w:cstheme="minorHAnsi"/>
          <w:bCs/>
          <w:color w:val="000000"/>
          <w:bdr w:val="none" w:sz="0" w:space="0" w:color="auto" w:frame="1"/>
        </w:rPr>
        <w:t xml:space="preserve">tevilo zavarovanih oseb, ki </w:t>
      </w:r>
      <w:r>
        <w:rPr>
          <w:rFonts w:cstheme="minorHAnsi"/>
          <w:bCs/>
          <w:color w:val="000000"/>
          <w:bdr w:val="none" w:sz="0" w:space="0" w:color="auto" w:frame="1"/>
        </w:rPr>
        <w:t xml:space="preserve">so </w:t>
      </w:r>
      <w:r w:rsidR="008B2E2A" w:rsidRPr="008B2E2A">
        <w:rPr>
          <w:rFonts w:cstheme="minorHAnsi"/>
          <w:bCs/>
          <w:color w:val="000000"/>
          <w:bdr w:val="none" w:sz="0" w:space="0" w:color="auto" w:frame="1"/>
        </w:rPr>
        <w:t>prejel</w:t>
      </w:r>
      <w:r>
        <w:rPr>
          <w:rFonts w:cstheme="minorHAnsi"/>
          <w:bCs/>
          <w:color w:val="000000"/>
          <w:bdr w:val="none" w:sz="0" w:space="0" w:color="auto" w:frame="1"/>
        </w:rPr>
        <w:t>e</w:t>
      </w:r>
      <w:r w:rsidR="008B2E2A" w:rsidRPr="008B2E2A">
        <w:rPr>
          <w:rFonts w:cstheme="minorHAnsi"/>
          <w:bCs/>
          <w:color w:val="000000"/>
          <w:bdr w:val="none" w:sz="0" w:space="0" w:color="auto" w:frame="1"/>
        </w:rPr>
        <w:t xml:space="preserve"> 10 in več učinkovin</w:t>
      </w:r>
      <w:r w:rsidR="00CF4E9C">
        <w:rPr>
          <w:rFonts w:cstheme="minorHAnsi"/>
          <w:bCs/>
          <w:color w:val="000000"/>
          <w:bdr w:val="none" w:sz="0" w:space="0" w:color="auto" w:frame="1"/>
        </w:rPr>
        <w:t xml:space="preserve"> v zadnjih 5 letih</w:t>
      </w:r>
      <w:r w:rsidR="008B2E2A" w:rsidRPr="008B2E2A">
        <w:rPr>
          <w:rFonts w:cstheme="minorHAnsi"/>
          <w:bCs/>
          <w:color w:val="000000"/>
          <w:bdr w:val="none" w:sz="0" w:space="0" w:color="auto" w:frame="1"/>
        </w:rPr>
        <w:t>.</w:t>
      </w:r>
      <w:r w:rsidR="00AF74DE">
        <w:rPr>
          <w:rFonts w:cstheme="minorHAnsi"/>
          <w:bCs/>
          <w:color w:val="000000"/>
          <w:bdr w:val="none" w:sz="0" w:space="0" w:color="auto" w:frame="1"/>
        </w:rPr>
        <w:t xml:space="preserve"> </w:t>
      </w:r>
    </w:p>
    <w:p w14:paraId="7B2383F4" w14:textId="77777777" w:rsidR="008B2E2A" w:rsidRPr="008B2E2A" w:rsidRDefault="008B2E2A" w:rsidP="00A6766C">
      <w:pPr>
        <w:spacing w:after="0" w:line="240" w:lineRule="auto"/>
        <w:rPr>
          <w:rFonts w:cstheme="minorHAnsi"/>
          <w:bCs/>
          <w:color w:val="000000"/>
          <w:bdr w:val="none" w:sz="0" w:space="0" w:color="auto" w:frame="1"/>
        </w:rPr>
      </w:pPr>
    </w:p>
    <w:p w14:paraId="1C8A2DEA" w14:textId="74B52651" w:rsidR="008B2E2A" w:rsidRPr="008B2E2A" w:rsidRDefault="008B2E2A" w:rsidP="00A6766C">
      <w:pPr>
        <w:spacing w:after="0" w:line="240" w:lineRule="auto"/>
        <w:rPr>
          <w:rFonts w:cstheme="minorHAnsi"/>
          <w:bCs/>
          <w:color w:val="000000"/>
          <w:u w:val="single"/>
          <w:bdr w:val="none" w:sz="0" w:space="0" w:color="auto" w:frame="1"/>
        </w:rPr>
      </w:pPr>
      <w:r w:rsidRPr="008B2E2A">
        <w:rPr>
          <w:rFonts w:cstheme="minorHAnsi"/>
          <w:bCs/>
          <w:color w:val="000000"/>
          <w:u w:val="single"/>
          <w:bdr w:val="none" w:sz="0" w:space="0" w:color="auto" w:frame="1"/>
        </w:rPr>
        <w:t>KK</w:t>
      </w:r>
      <w:r w:rsidR="001A1415">
        <w:rPr>
          <w:rFonts w:cstheme="minorHAnsi"/>
          <w:bCs/>
          <w:color w:val="000000"/>
          <w:u w:val="single"/>
          <w:bdr w:val="none" w:sz="0" w:space="0" w:color="auto" w:frame="1"/>
        </w:rPr>
        <w:t>1</w:t>
      </w:r>
      <w:r w:rsidR="00FF5A29">
        <w:rPr>
          <w:rFonts w:cstheme="minorHAnsi"/>
          <w:bCs/>
          <w:color w:val="000000"/>
          <w:u w:val="single"/>
          <w:bdr w:val="none" w:sz="0" w:space="0" w:color="auto" w:frame="1"/>
        </w:rPr>
        <w:t>6</w:t>
      </w:r>
      <w:r w:rsidRPr="008B2E2A">
        <w:rPr>
          <w:rFonts w:cstheme="minorHAnsi"/>
          <w:bCs/>
          <w:color w:val="000000"/>
          <w:u w:val="single"/>
          <w:bdr w:val="none" w:sz="0" w:space="0" w:color="auto" w:frame="1"/>
        </w:rPr>
        <w:t xml:space="preserve"> – povprečno število učinkovin na prejemnika</w:t>
      </w:r>
    </w:p>
    <w:p w14:paraId="5E0EB4CB" w14:textId="77777777" w:rsidR="00CF4E9C" w:rsidRDefault="00AF74DE" w:rsidP="00A6766C">
      <w:pPr>
        <w:spacing w:after="0" w:line="240" w:lineRule="auto"/>
        <w:rPr>
          <w:rFonts w:cstheme="minorHAnsi"/>
          <w:szCs w:val="24"/>
        </w:rPr>
      </w:pPr>
      <w:r w:rsidRPr="00DE5138">
        <w:rPr>
          <w:rFonts w:cstheme="minorHAnsi"/>
          <w:szCs w:val="24"/>
        </w:rPr>
        <w:t>Kazalnik je izračunan</w:t>
      </w:r>
      <w:r w:rsidR="007809E9" w:rsidRPr="00DE5138">
        <w:rPr>
          <w:rFonts w:cstheme="minorHAnsi"/>
          <w:szCs w:val="24"/>
        </w:rPr>
        <w:t xml:space="preserve"> </w:t>
      </w:r>
      <w:r w:rsidRPr="00DE5138">
        <w:rPr>
          <w:rFonts w:cstheme="minorHAnsi"/>
          <w:szCs w:val="24"/>
        </w:rPr>
        <w:t>po formuli</w:t>
      </w:r>
      <w:r w:rsidR="00CF4E9C">
        <w:rPr>
          <w:rFonts w:cstheme="minorHAnsi"/>
          <w:szCs w:val="24"/>
        </w:rPr>
        <w:t xml:space="preserve">: </w:t>
      </w:r>
    </w:p>
    <w:p w14:paraId="1427CE9D" w14:textId="4E1D889C" w:rsidR="008B2E2A" w:rsidRPr="00DE5138" w:rsidRDefault="00AF74DE" w:rsidP="00A6766C">
      <w:pPr>
        <w:spacing w:after="0" w:line="240" w:lineRule="auto"/>
        <w:rPr>
          <w:rFonts w:cstheme="minorHAnsi"/>
          <w:bCs/>
          <w:color w:val="000000"/>
          <w:sz w:val="20"/>
          <w:bdr w:val="none" w:sz="0" w:space="0" w:color="auto" w:frame="1"/>
        </w:rPr>
      </w:pPr>
      <w:r w:rsidRPr="00DE5138">
        <w:rPr>
          <w:rFonts w:cstheme="minorHAnsi"/>
          <w:szCs w:val="24"/>
        </w:rPr>
        <w:t>(št. oseb</w:t>
      </w:r>
      <w:r w:rsidRPr="00DE5138">
        <w:rPr>
          <w:rFonts w:cstheme="minorHAnsi"/>
          <w:szCs w:val="24"/>
          <w:vertAlign w:val="subscript"/>
        </w:rPr>
        <w:t>1</w:t>
      </w:r>
      <w:r w:rsidRPr="00DE5138">
        <w:rPr>
          <w:rFonts w:cstheme="minorHAnsi"/>
          <w:szCs w:val="24"/>
        </w:rPr>
        <w:t xml:space="preserve"> x št. </w:t>
      </w:r>
      <w:r w:rsidR="00546835">
        <w:rPr>
          <w:rFonts w:cstheme="minorHAnsi"/>
          <w:szCs w:val="24"/>
        </w:rPr>
        <w:t>učinkovin</w:t>
      </w:r>
      <w:r w:rsidRPr="00DE5138">
        <w:rPr>
          <w:rFonts w:cstheme="minorHAnsi"/>
          <w:szCs w:val="24"/>
          <w:vertAlign w:val="subscript"/>
        </w:rPr>
        <w:t>1</w:t>
      </w:r>
      <w:r w:rsidRPr="00DE5138">
        <w:rPr>
          <w:rFonts w:cstheme="minorHAnsi"/>
          <w:szCs w:val="24"/>
        </w:rPr>
        <w:t xml:space="preserve"> + … + št. oseb</w:t>
      </w:r>
      <w:r w:rsidRPr="00DE5138">
        <w:rPr>
          <w:rFonts w:cstheme="minorHAnsi"/>
          <w:szCs w:val="24"/>
          <w:vertAlign w:val="subscript"/>
        </w:rPr>
        <w:t>n</w:t>
      </w:r>
      <w:r w:rsidRPr="00DE5138">
        <w:rPr>
          <w:rFonts w:cstheme="minorHAnsi"/>
          <w:szCs w:val="24"/>
        </w:rPr>
        <w:t xml:space="preserve"> x št. </w:t>
      </w:r>
      <w:r w:rsidR="00546835">
        <w:rPr>
          <w:rFonts w:cstheme="minorHAnsi"/>
          <w:szCs w:val="24"/>
        </w:rPr>
        <w:t>učinkovin</w:t>
      </w:r>
      <w:r w:rsidRPr="00DE5138">
        <w:rPr>
          <w:rFonts w:cstheme="minorHAnsi"/>
          <w:szCs w:val="24"/>
          <w:vertAlign w:val="subscript"/>
        </w:rPr>
        <w:t>n</w:t>
      </w:r>
      <w:r w:rsidRPr="00DE5138">
        <w:rPr>
          <w:rFonts w:cstheme="minorHAnsi"/>
          <w:szCs w:val="24"/>
        </w:rPr>
        <w:t>) / (št. oseb</w:t>
      </w:r>
      <w:r w:rsidRPr="00DE5138">
        <w:rPr>
          <w:rFonts w:cstheme="minorHAnsi"/>
          <w:szCs w:val="24"/>
          <w:vertAlign w:val="subscript"/>
        </w:rPr>
        <w:t>1</w:t>
      </w:r>
      <w:r w:rsidRPr="00DE5138">
        <w:rPr>
          <w:rFonts w:cstheme="minorHAnsi"/>
          <w:szCs w:val="24"/>
        </w:rPr>
        <w:t xml:space="preserve"> + … + št. oseb</w:t>
      </w:r>
      <w:r w:rsidRPr="00DE5138">
        <w:rPr>
          <w:rFonts w:cstheme="minorHAnsi"/>
          <w:szCs w:val="24"/>
          <w:vertAlign w:val="subscript"/>
        </w:rPr>
        <w:t>n</w:t>
      </w:r>
      <w:r w:rsidRPr="00DE5138">
        <w:rPr>
          <w:rFonts w:cstheme="minorHAnsi"/>
          <w:szCs w:val="24"/>
        </w:rPr>
        <w:t>)</w:t>
      </w:r>
    </w:p>
    <w:p w14:paraId="562E2364" w14:textId="77777777" w:rsidR="00A817CC" w:rsidRDefault="00A817CC" w:rsidP="00A817CC">
      <w:pPr>
        <w:spacing w:after="0" w:line="240" w:lineRule="auto"/>
        <w:jc w:val="both"/>
        <w:rPr>
          <w:rFonts w:cstheme="minorHAnsi"/>
          <w:bCs/>
          <w:color w:val="000000"/>
          <w:bdr w:val="none" w:sz="0" w:space="0" w:color="auto" w:frame="1"/>
        </w:rPr>
      </w:pPr>
    </w:p>
    <w:p w14:paraId="6CA9FE1B" w14:textId="3620B1FD" w:rsidR="00FF5A29" w:rsidRPr="008B2E2A" w:rsidRDefault="00FF5A29" w:rsidP="00FF5A29">
      <w:pPr>
        <w:spacing w:after="0" w:line="240" w:lineRule="auto"/>
        <w:jc w:val="both"/>
        <w:rPr>
          <w:rFonts w:cstheme="minorHAnsi"/>
          <w:bCs/>
          <w:color w:val="000000"/>
          <w:bdr w:val="none" w:sz="0" w:space="0" w:color="auto" w:frame="1"/>
        </w:rPr>
      </w:pPr>
      <w:r w:rsidRPr="00CE45FA">
        <w:rPr>
          <w:rFonts w:cstheme="minorHAnsi"/>
          <w:bCs/>
          <w:color w:val="000000"/>
          <w:bdr w:val="none" w:sz="0" w:space="0" w:color="auto" w:frame="1"/>
        </w:rPr>
        <w:t xml:space="preserve">Tabela </w:t>
      </w:r>
      <w:r w:rsidR="00CE45FA" w:rsidRPr="00CE45FA">
        <w:rPr>
          <w:rFonts w:cstheme="minorHAnsi"/>
          <w:bCs/>
          <w:i/>
          <w:iCs/>
          <w:color w:val="000000"/>
          <w:bdr w:val="none" w:sz="0" w:space="0" w:color="auto" w:frame="1"/>
        </w:rPr>
        <w:t>Š</w:t>
      </w:r>
      <w:r w:rsidRPr="00CE45FA">
        <w:rPr>
          <w:rFonts w:cstheme="minorHAnsi"/>
          <w:bCs/>
          <w:i/>
          <w:iCs/>
          <w:color w:val="000000"/>
          <w:bdr w:val="none" w:sz="0" w:space="0" w:color="auto" w:frame="1"/>
        </w:rPr>
        <w:t xml:space="preserve">tevilo oseb </w:t>
      </w:r>
      <w:r w:rsidR="003E6A58">
        <w:rPr>
          <w:rFonts w:cstheme="minorHAnsi"/>
          <w:bCs/>
          <w:i/>
          <w:iCs/>
          <w:color w:val="000000"/>
          <w:bdr w:val="none" w:sz="0" w:space="0" w:color="auto" w:frame="1"/>
        </w:rPr>
        <w:t xml:space="preserve">s 5 in več učinkovinami </w:t>
      </w:r>
      <w:r w:rsidRPr="00E43D23">
        <w:rPr>
          <w:rFonts w:cstheme="minorHAnsi"/>
          <w:bCs/>
          <w:color w:val="000000"/>
          <w:bdr w:val="none" w:sz="0" w:space="0" w:color="auto" w:frame="1"/>
        </w:rPr>
        <w:t>pregledn</w:t>
      </w:r>
      <w:r>
        <w:rPr>
          <w:rFonts w:cstheme="minorHAnsi"/>
          <w:bCs/>
          <w:color w:val="000000"/>
          <w:bdr w:val="none" w:sz="0" w:space="0" w:color="auto" w:frame="1"/>
        </w:rPr>
        <w:t>o</w:t>
      </w:r>
      <w:r w:rsidRPr="00E43D23">
        <w:rPr>
          <w:rFonts w:cstheme="minorHAnsi"/>
          <w:bCs/>
          <w:color w:val="000000"/>
          <w:bdr w:val="none" w:sz="0" w:space="0" w:color="auto" w:frame="1"/>
        </w:rPr>
        <w:t xml:space="preserve"> prikazuje podatke</w:t>
      </w:r>
      <w:r>
        <w:rPr>
          <w:rFonts w:cstheme="minorHAnsi"/>
          <w:bCs/>
          <w:color w:val="000000"/>
          <w:bdr w:val="none" w:sz="0" w:space="0" w:color="auto" w:frame="1"/>
        </w:rPr>
        <w:t>,</w:t>
      </w:r>
      <w:r w:rsidRPr="00E43D23">
        <w:rPr>
          <w:rFonts w:cstheme="minorHAnsi"/>
          <w:bCs/>
          <w:color w:val="000000"/>
          <w:bdr w:val="none" w:sz="0" w:space="0" w:color="auto" w:frame="1"/>
        </w:rPr>
        <w:t xml:space="preserve"> </w:t>
      </w:r>
      <w:r>
        <w:rPr>
          <w:rFonts w:cstheme="minorHAnsi"/>
          <w:bCs/>
          <w:color w:val="000000"/>
          <w:bdr w:val="none" w:sz="0" w:space="0" w:color="auto" w:frame="1"/>
        </w:rPr>
        <w:t xml:space="preserve">ki so podlaga </w:t>
      </w:r>
      <w:r w:rsidRPr="00E43D23">
        <w:rPr>
          <w:rFonts w:cstheme="minorHAnsi"/>
          <w:bCs/>
          <w:color w:val="000000"/>
          <w:bdr w:val="none" w:sz="0" w:space="0" w:color="auto" w:frame="1"/>
        </w:rPr>
        <w:t>za izračun skupne vrednosti kazalnikov za polifarmakoterapijo.</w:t>
      </w:r>
      <w:r>
        <w:rPr>
          <w:rFonts w:cstheme="minorHAnsi"/>
          <w:bCs/>
          <w:color w:val="000000"/>
          <w:bdr w:val="none" w:sz="0" w:space="0" w:color="auto" w:frame="1"/>
        </w:rPr>
        <w:t xml:space="preserve"> Prikazani so podatki za zadnje leto. V tabeli </w:t>
      </w:r>
      <w:r w:rsidRPr="00751FAF">
        <w:rPr>
          <w:rFonts w:cstheme="minorHAnsi"/>
        </w:rPr>
        <w:t xml:space="preserve">niso </w:t>
      </w:r>
      <w:r>
        <w:rPr>
          <w:rFonts w:cstheme="minorHAnsi"/>
        </w:rPr>
        <w:t xml:space="preserve">nujno </w:t>
      </w:r>
      <w:r w:rsidRPr="00751FAF">
        <w:rPr>
          <w:rFonts w:cstheme="minorHAnsi"/>
        </w:rPr>
        <w:t>izpolnjena vsa polja.</w:t>
      </w:r>
    </w:p>
    <w:p w14:paraId="3EEE1464" w14:textId="77777777" w:rsidR="00FF5A29" w:rsidRPr="00CE45FA" w:rsidRDefault="00FF5A29" w:rsidP="00FF5A29">
      <w:pPr>
        <w:spacing w:after="0" w:line="240" w:lineRule="auto"/>
        <w:jc w:val="both"/>
        <w:rPr>
          <w:rFonts w:cstheme="minorHAnsi"/>
          <w:bCs/>
          <w:color w:val="000000"/>
          <w:sz w:val="10"/>
          <w:szCs w:val="10"/>
          <w:u w:val="single"/>
          <w:bdr w:val="none" w:sz="0" w:space="0" w:color="auto" w:frame="1"/>
        </w:rPr>
      </w:pPr>
    </w:p>
    <w:p w14:paraId="7C0C17FC" w14:textId="4C41DD6C" w:rsidR="00FF5A29" w:rsidRDefault="00FF5A29" w:rsidP="00FF5A29">
      <w:pPr>
        <w:spacing w:after="0" w:line="240" w:lineRule="auto"/>
        <w:jc w:val="both"/>
        <w:rPr>
          <w:rFonts w:cstheme="minorHAnsi"/>
          <w:bCs/>
          <w:color w:val="000000"/>
          <w:bdr w:val="none" w:sz="0" w:space="0" w:color="auto" w:frame="1"/>
        </w:rPr>
      </w:pPr>
      <w:r w:rsidRPr="00CE45FA">
        <w:rPr>
          <w:rFonts w:cstheme="minorHAnsi"/>
          <w:bCs/>
          <w:color w:val="000000"/>
          <w:bdr w:val="none" w:sz="0" w:space="0" w:color="auto" w:frame="1"/>
        </w:rPr>
        <w:t>Tabela</w:t>
      </w:r>
      <w:r w:rsidR="00CE45FA" w:rsidRPr="00CE45FA">
        <w:t xml:space="preserve"> </w:t>
      </w:r>
      <w:r w:rsidR="00CE45FA" w:rsidRPr="00CE45FA">
        <w:rPr>
          <w:rFonts w:cstheme="minorHAnsi"/>
          <w:bCs/>
          <w:i/>
          <w:iCs/>
          <w:color w:val="000000"/>
          <w:bdr w:val="none" w:sz="0" w:space="0" w:color="auto" w:frame="1"/>
        </w:rPr>
        <w:t>Zavarovane osebe, ki so v zadnjem letu prejele 10 in več učinkovin</w:t>
      </w:r>
      <w:r w:rsidR="00CE45FA">
        <w:rPr>
          <w:rFonts w:cstheme="minorHAnsi"/>
          <w:bCs/>
          <w:color w:val="000000"/>
          <w:bdr w:val="none" w:sz="0" w:space="0" w:color="auto" w:frame="1"/>
        </w:rPr>
        <w:t xml:space="preserve"> </w:t>
      </w:r>
      <w:r w:rsidRPr="00CE45FA">
        <w:rPr>
          <w:rFonts w:cstheme="minorHAnsi"/>
          <w:bCs/>
          <w:color w:val="000000"/>
          <w:bdr w:val="none" w:sz="0" w:space="0" w:color="auto" w:frame="1"/>
        </w:rPr>
        <w:t>vsebuje</w:t>
      </w:r>
      <w:r>
        <w:rPr>
          <w:rFonts w:cstheme="minorHAnsi"/>
          <w:bCs/>
          <w:color w:val="000000"/>
          <w:bdr w:val="none" w:sz="0" w:space="0" w:color="auto" w:frame="1"/>
        </w:rPr>
        <w:t xml:space="preserve"> ZZZS številke zavarovanih oseb, ki so v zadnjem letu prejele 10 in več učinkovin. Število zavarovanih oseb je enako kot v kazalniku KK15</w:t>
      </w:r>
      <w:r w:rsidRPr="00AF74DE">
        <w:rPr>
          <w:rFonts w:cstheme="minorHAnsi"/>
          <w:bCs/>
          <w:color w:val="000000"/>
          <w:bdr w:val="none" w:sz="0" w:space="0" w:color="auto" w:frame="1"/>
        </w:rPr>
        <w:t xml:space="preserve">. </w:t>
      </w:r>
    </w:p>
    <w:p w14:paraId="659232DF" w14:textId="2C58BD3C" w:rsidR="0066042A" w:rsidRPr="007B0901" w:rsidRDefault="0066042A" w:rsidP="007B0901">
      <w:pPr>
        <w:spacing w:after="0" w:line="240" w:lineRule="auto"/>
        <w:jc w:val="both"/>
        <w:rPr>
          <w:rFonts w:cstheme="minorHAnsi"/>
          <w:b/>
          <w:bCs/>
          <w:color w:val="000000"/>
          <w:bdr w:val="none" w:sz="0" w:space="0" w:color="auto" w:frame="1"/>
        </w:rPr>
      </w:pPr>
    </w:p>
    <w:p w14:paraId="34B68508" w14:textId="77777777" w:rsidR="00FB4267" w:rsidRDefault="00FB4267" w:rsidP="00A6766C">
      <w:pPr>
        <w:spacing w:after="0" w:line="240" w:lineRule="auto"/>
        <w:rPr>
          <w:rFonts w:cstheme="minorHAnsi"/>
          <w:b/>
          <w:bCs/>
          <w:color w:val="000000"/>
          <w:bdr w:val="none" w:sz="0" w:space="0" w:color="auto" w:frame="1"/>
        </w:rPr>
      </w:pPr>
    </w:p>
    <w:sectPr w:rsidR="00FB42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3C45" w14:textId="77777777" w:rsidR="00454A76" w:rsidRDefault="00454A76" w:rsidP="002C2C59">
      <w:pPr>
        <w:spacing w:after="0" w:line="240" w:lineRule="auto"/>
      </w:pPr>
      <w:r>
        <w:separator/>
      </w:r>
    </w:p>
  </w:endnote>
  <w:endnote w:type="continuationSeparator" w:id="0">
    <w:p w14:paraId="2A9EF240" w14:textId="77777777" w:rsidR="00454A76" w:rsidRDefault="00454A76" w:rsidP="002C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F296" w14:textId="77777777" w:rsidR="00454A76" w:rsidRPr="006C2CB2" w:rsidRDefault="00454A76" w:rsidP="002C2C59">
    <w:pPr>
      <w:spacing w:after="0" w:line="240" w:lineRule="auto"/>
      <w:rPr>
        <w:rFonts w:cstheme="minorHAnsi"/>
        <w:bCs/>
        <w:color w:val="000000"/>
        <w:sz w:val="16"/>
        <w:bdr w:val="none" w:sz="0" w:space="0" w:color="auto" w:frame="1"/>
      </w:rPr>
    </w:pPr>
    <w:r w:rsidRPr="006C2CB2">
      <w:rPr>
        <w:sz w:val="16"/>
      </w:rPr>
      <w:t>Metodologija kazalnikov kakovosti predpisovanja zdravil v splošni/družinski medicini</w:t>
    </w:r>
    <w:r w:rsidRPr="006C2CB2">
      <w:rPr>
        <w:sz w:val="16"/>
      </w:rPr>
      <w:tab/>
    </w:r>
    <w:r w:rsidRPr="006C2CB2">
      <w:rPr>
        <w:sz w:val="16"/>
      </w:rPr>
      <w:tab/>
    </w:r>
    <w:r w:rsidRPr="006C2CB2">
      <w:rPr>
        <w:sz w:val="16"/>
      </w:rPr>
      <w:tab/>
      <w:t xml:space="preserve">          </w:t>
    </w:r>
    <w:r>
      <w:rPr>
        <w:sz w:val="16"/>
      </w:rPr>
      <w:t xml:space="preserve">                         </w:t>
    </w:r>
    <w:r w:rsidRPr="006C2CB2">
      <w:rPr>
        <w:sz w:val="16"/>
      </w:rPr>
      <w:t xml:space="preserve">    </w:t>
    </w:r>
    <w:proofErr w:type="gramStart"/>
    <w:r w:rsidRPr="006C2CB2">
      <w:rPr>
        <w:sz w:val="16"/>
      </w:rPr>
      <w:t xml:space="preserve">Stran  </w:t>
    </w:r>
    <w:proofErr w:type="gramEnd"/>
    <w:r w:rsidRPr="006C2CB2">
      <w:rPr>
        <w:sz w:val="16"/>
      </w:rPr>
      <w:fldChar w:fldCharType="begin"/>
    </w:r>
    <w:r w:rsidRPr="006C2CB2">
      <w:rPr>
        <w:sz w:val="16"/>
      </w:rPr>
      <w:instrText>PAGE   \* MERGEFORMAT</w:instrText>
    </w:r>
    <w:r w:rsidRPr="006C2CB2">
      <w:rPr>
        <w:sz w:val="16"/>
      </w:rPr>
      <w:fldChar w:fldCharType="separate"/>
    </w:r>
    <w:r w:rsidR="00760367">
      <w:rPr>
        <w:noProof/>
        <w:sz w:val="16"/>
      </w:rPr>
      <w:t>5</w:t>
    </w:r>
    <w:r w:rsidRPr="006C2CB2">
      <w:rPr>
        <w:sz w:val="16"/>
      </w:rPr>
      <w:fldChar w:fldCharType="end"/>
    </w:r>
    <w:r w:rsidRPr="006C2CB2">
      <w:rPr>
        <w:sz w:val="16"/>
      </w:rPr>
      <w:t xml:space="preserve"> </w:t>
    </w:r>
  </w:p>
  <w:p w14:paraId="5C281F9C" w14:textId="77777777" w:rsidR="00454A76" w:rsidRDefault="00454A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71E0" w14:textId="77777777" w:rsidR="00454A76" w:rsidRDefault="00454A76" w:rsidP="002C2C59">
      <w:pPr>
        <w:spacing w:after="0" w:line="240" w:lineRule="auto"/>
      </w:pPr>
      <w:r>
        <w:separator/>
      </w:r>
    </w:p>
  </w:footnote>
  <w:footnote w:type="continuationSeparator" w:id="0">
    <w:p w14:paraId="0C120923" w14:textId="77777777" w:rsidR="00454A76" w:rsidRDefault="00454A76" w:rsidP="002C2C59">
      <w:pPr>
        <w:spacing w:after="0" w:line="240" w:lineRule="auto"/>
      </w:pPr>
      <w:r>
        <w:continuationSeparator/>
      </w:r>
    </w:p>
  </w:footnote>
  <w:footnote w:id="1">
    <w:p w14:paraId="277F6821" w14:textId="100D694F" w:rsidR="00454A76" w:rsidRPr="000434F4" w:rsidRDefault="00454A76">
      <w:pPr>
        <w:pStyle w:val="Sprotnaopomba-besedilo"/>
        <w:rPr>
          <w:sz w:val="18"/>
        </w:rPr>
      </w:pPr>
      <w:r w:rsidRPr="000434F4">
        <w:rPr>
          <w:rStyle w:val="Sprotnaopomba-sklic"/>
          <w:sz w:val="18"/>
        </w:rPr>
        <w:footnoteRef/>
      </w:r>
      <w:r w:rsidRPr="000434F4">
        <w:rPr>
          <w:sz w:val="18"/>
        </w:rPr>
        <w:t xml:space="preserve"> Kazalniki OECD. Povezava: </w:t>
      </w:r>
      <w:hyperlink r:id="rId1" w:history="1">
        <w:r w:rsidR="002D06F9" w:rsidRPr="00F85B35">
          <w:rPr>
            <w:rStyle w:val="Hiperpovezava"/>
            <w:sz w:val="18"/>
          </w:rPr>
          <w:t>http://www.oecd.org/health/health-systems/</w:t>
        </w:r>
      </w:hyperlink>
      <w:r w:rsidR="002D06F9">
        <w:rPr>
          <w:sz w:val="18"/>
        </w:rPr>
        <w:t xml:space="preserve"> </w:t>
      </w:r>
    </w:p>
  </w:footnote>
  <w:footnote w:id="2">
    <w:p w14:paraId="5DCA77F4" w14:textId="3FA85502" w:rsidR="00454A76" w:rsidRPr="00210F1C" w:rsidRDefault="00454A76" w:rsidP="00210F1C">
      <w:pPr>
        <w:pStyle w:val="Sprotnaopomba-besedilo"/>
        <w:jc w:val="left"/>
        <w:rPr>
          <w:rFonts w:cstheme="minorHAnsi"/>
          <w:sz w:val="18"/>
        </w:rPr>
      </w:pPr>
      <w:r w:rsidRPr="00210F1C">
        <w:rPr>
          <w:rStyle w:val="Sprotnaopomba-sklic"/>
          <w:rFonts w:cstheme="minorHAnsi"/>
          <w:sz w:val="18"/>
        </w:rPr>
        <w:footnoteRef/>
      </w:r>
      <w:r w:rsidRPr="00210F1C">
        <w:rPr>
          <w:rFonts w:cstheme="minorHAnsi"/>
          <w:sz w:val="18"/>
        </w:rPr>
        <w:t xml:space="preserve"> European Centre </w:t>
      </w:r>
      <w:proofErr w:type="gramStart"/>
      <w:r w:rsidRPr="00210F1C">
        <w:rPr>
          <w:rFonts w:cstheme="minorHAnsi"/>
          <w:sz w:val="18"/>
        </w:rPr>
        <w:t>for</w:t>
      </w:r>
      <w:proofErr w:type="gramEnd"/>
      <w:r w:rsidRPr="00210F1C">
        <w:rPr>
          <w:rFonts w:cstheme="minorHAnsi"/>
          <w:sz w:val="18"/>
        </w:rPr>
        <w:t xml:space="preserve"> Desease Prevention and Control. </w:t>
      </w:r>
      <w:r w:rsidRPr="00210F1C">
        <w:rPr>
          <w:rFonts w:cstheme="minorHAnsi"/>
          <w:sz w:val="18"/>
          <w:shd w:val="clear" w:color="auto" w:fill="FFFFFF"/>
        </w:rPr>
        <w:t xml:space="preserve">Quality indicators for antibiotic consumption in the community (primary </w:t>
      </w:r>
      <w:proofErr w:type="gramStart"/>
      <w:r w:rsidRPr="00210F1C">
        <w:rPr>
          <w:rFonts w:cstheme="minorHAnsi"/>
          <w:sz w:val="18"/>
          <w:shd w:val="clear" w:color="auto" w:fill="FFFFFF"/>
        </w:rPr>
        <w:t>care</w:t>
      </w:r>
      <w:proofErr w:type="gramEnd"/>
      <w:r w:rsidRPr="00210F1C">
        <w:rPr>
          <w:rFonts w:cstheme="minorHAnsi"/>
          <w:sz w:val="18"/>
          <w:shd w:val="clear" w:color="auto" w:fill="FFFFFF"/>
        </w:rPr>
        <w:t xml:space="preserve"> sector) Povezava: </w:t>
      </w:r>
      <w:hyperlink r:id="rId2" w:anchor="sthash.K61tLMnr.dpuf" w:history="1">
        <w:r w:rsidR="002D06F9" w:rsidRPr="00F85B35">
          <w:rPr>
            <w:rStyle w:val="Hiperpovezava"/>
            <w:rFonts w:cstheme="minorHAnsi"/>
            <w:sz w:val="18"/>
            <w:shd w:val="clear" w:color="auto" w:fill="FFFFFF"/>
          </w:rPr>
          <w:t>http://ecdc.europa.eu/en/healthtopics/antimicrobial_resistance/esac-net-database/Pages/quality-indicators-primary-care.aspx#sthash.K61tLMnr.dpuf</w:t>
        </w:r>
      </w:hyperlink>
      <w:r w:rsidR="002D06F9">
        <w:rPr>
          <w:rFonts w:cstheme="minorHAnsi"/>
          <w:sz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12ED"/>
    <w:multiLevelType w:val="hybridMultilevel"/>
    <w:tmpl w:val="7C400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EA0639"/>
    <w:multiLevelType w:val="hybridMultilevel"/>
    <w:tmpl w:val="C5025698"/>
    <w:lvl w:ilvl="0" w:tplc="AEF0A9E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EA703D"/>
    <w:multiLevelType w:val="hybridMultilevel"/>
    <w:tmpl w:val="6AC80774"/>
    <w:lvl w:ilvl="0" w:tplc="AEF0A9E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6C"/>
    <w:rsid w:val="00010DF1"/>
    <w:rsid w:val="000434F4"/>
    <w:rsid w:val="000953AA"/>
    <w:rsid w:val="000A2306"/>
    <w:rsid w:val="000A473E"/>
    <w:rsid w:val="000D2F34"/>
    <w:rsid w:val="000D6684"/>
    <w:rsid w:val="00114C10"/>
    <w:rsid w:val="0015088C"/>
    <w:rsid w:val="001562ED"/>
    <w:rsid w:val="001964E5"/>
    <w:rsid w:val="001A1415"/>
    <w:rsid w:val="001E0831"/>
    <w:rsid w:val="00200825"/>
    <w:rsid w:val="00210F1C"/>
    <w:rsid w:val="00217D63"/>
    <w:rsid w:val="00240DDA"/>
    <w:rsid w:val="002A4F6F"/>
    <w:rsid w:val="002B0017"/>
    <w:rsid w:val="002B56DC"/>
    <w:rsid w:val="002C2C59"/>
    <w:rsid w:val="002C4F7A"/>
    <w:rsid w:val="002D06F9"/>
    <w:rsid w:val="002D53A9"/>
    <w:rsid w:val="002E43ED"/>
    <w:rsid w:val="00335DB8"/>
    <w:rsid w:val="00354E47"/>
    <w:rsid w:val="003E6A58"/>
    <w:rsid w:val="00454A76"/>
    <w:rsid w:val="00484E13"/>
    <w:rsid w:val="004B48B2"/>
    <w:rsid w:val="004C3EC5"/>
    <w:rsid w:val="00511D1B"/>
    <w:rsid w:val="00521CBB"/>
    <w:rsid w:val="00546835"/>
    <w:rsid w:val="00557241"/>
    <w:rsid w:val="00562B21"/>
    <w:rsid w:val="005D5F1E"/>
    <w:rsid w:val="00610A7F"/>
    <w:rsid w:val="00612425"/>
    <w:rsid w:val="00621B33"/>
    <w:rsid w:val="0066042A"/>
    <w:rsid w:val="00674902"/>
    <w:rsid w:val="0067663E"/>
    <w:rsid w:val="0068626A"/>
    <w:rsid w:val="006A32B2"/>
    <w:rsid w:val="006C2CB2"/>
    <w:rsid w:val="00715DBD"/>
    <w:rsid w:val="00760367"/>
    <w:rsid w:val="00766322"/>
    <w:rsid w:val="007809E9"/>
    <w:rsid w:val="007A7E81"/>
    <w:rsid w:val="007B0901"/>
    <w:rsid w:val="007C0292"/>
    <w:rsid w:val="008A2F4A"/>
    <w:rsid w:val="008B2E2A"/>
    <w:rsid w:val="008B7291"/>
    <w:rsid w:val="008F7FDF"/>
    <w:rsid w:val="00927213"/>
    <w:rsid w:val="0093018F"/>
    <w:rsid w:val="00986994"/>
    <w:rsid w:val="009F5CD6"/>
    <w:rsid w:val="00A0149F"/>
    <w:rsid w:val="00A6766C"/>
    <w:rsid w:val="00A778DF"/>
    <w:rsid w:val="00A817CC"/>
    <w:rsid w:val="00AF6CC4"/>
    <w:rsid w:val="00AF74DE"/>
    <w:rsid w:val="00B607A8"/>
    <w:rsid w:val="00B72638"/>
    <w:rsid w:val="00BF0B93"/>
    <w:rsid w:val="00BF3B3C"/>
    <w:rsid w:val="00C050F1"/>
    <w:rsid w:val="00CE45FA"/>
    <w:rsid w:val="00CF4E9C"/>
    <w:rsid w:val="00D110E3"/>
    <w:rsid w:val="00D172C8"/>
    <w:rsid w:val="00D45665"/>
    <w:rsid w:val="00D47C4D"/>
    <w:rsid w:val="00D53A7F"/>
    <w:rsid w:val="00D625B0"/>
    <w:rsid w:val="00D73887"/>
    <w:rsid w:val="00D75A2E"/>
    <w:rsid w:val="00DB504E"/>
    <w:rsid w:val="00DE5138"/>
    <w:rsid w:val="00E14AC8"/>
    <w:rsid w:val="00E43D23"/>
    <w:rsid w:val="00E44B7C"/>
    <w:rsid w:val="00E54CBD"/>
    <w:rsid w:val="00E64D67"/>
    <w:rsid w:val="00ED1D10"/>
    <w:rsid w:val="00EE0F2E"/>
    <w:rsid w:val="00EE1AEA"/>
    <w:rsid w:val="00F20A42"/>
    <w:rsid w:val="00F4273F"/>
    <w:rsid w:val="00F729CD"/>
    <w:rsid w:val="00F804AB"/>
    <w:rsid w:val="00F80F3F"/>
    <w:rsid w:val="00F901EE"/>
    <w:rsid w:val="00FB4267"/>
    <w:rsid w:val="00FF5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B77334F"/>
  <w15:docId w15:val="{42393C66-189A-4E03-8366-942FB842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676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A6766C"/>
    <w:pPr>
      <w:spacing w:after="0" w:line="240" w:lineRule="auto"/>
    </w:pPr>
  </w:style>
  <w:style w:type="character" w:styleId="Hiperpovezava">
    <w:name w:val="Hyperlink"/>
    <w:basedOn w:val="Privzetapisavaodstavka"/>
    <w:uiPriority w:val="99"/>
    <w:unhideWhenUsed/>
    <w:rsid w:val="00A6766C"/>
    <w:rPr>
      <w:color w:val="0000FF" w:themeColor="hyperlink"/>
      <w:u w:val="single"/>
    </w:rPr>
  </w:style>
  <w:style w:type="character" w:customStyle="1" w:styleId="apple-converted-space">
    <w:name w:val="apple-converted-space"/>
    <w:basedOn w:val="Privzetapisavaodstavka"/>
    <w:rsid w:val="00A6766C"/>
  </w:style>
  <w:style w:type="paragraph" w:styleId="Besedilooblaka">
    <w:name w:val="Balloon Text"/>
    <w:basedOn w:val="Navaden"/>
    <w:link w:val="BesedilooblakaZnak"/>
    <w:uiPriority w:val="99"/>
    <w:semiHidden/>
    <w:unhideWhenUsed/>
    <w:rsid w:val="00A676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66C"/>
    <w:rPr>
      <w:rFonts w:ascii="Tahoma" w:hAnsi="Tahoma" w:cs="Tahoma"/>
      <w:sz w:val="16"/>
      <w:szCs w:val="16"/>
    </w:rPr>
  </w:style>
  <w:style w:type="paragraph" w:styleId="Odstavekseznama">
    <w:name w:val="List Paragraph"/>
    <w:basedOn w:val="Navaden"/>
    <w:uiPriority w:val="34"/>
    <w:qFormat/>
    <w:rsid w:val="00A6766C"/>
    <w:pPr>
      <w:ind w:left="720"/>
      <w:contextualSpacing/>
    </w:pPr>
  </w:style>
  <w:style w:type="paragraph" w:styleId="Glava">
    <w:name w:val="header"/>
    <w:basedOn w:val="Navaden"/>
    <w:link w:val="GlavaZnak"/>
    <w:uiPriority w:val="99"/>
    <w:unhideWhenUsed/>
    <w:rsid w:val="002C2C59"/>
    <w:pPr>
      <w:tabs>
        <w:tab w:val="center" w:pos="4536"/>
        <w:tab w:val="right" w:pos="9072"/>
      </w:tabs>
      <w:spacing w:after="0" w:line="240" w:lineRule="auto"/>
    </w:pPr>
  </w:style>
  <w:style w:type="character" w:customStyle="1" w:styleId="GlavaZnak">
    <w:name w:val="Glava Znak"/>
    <w:basedOn w:val="Privzetapisavaodstavka"/>
    <w:link w:val="Glava"/>
    <w:uiPriority w:val="99"/>
    <w:rsid w:val="002C2C59"/>
  </w:style>
  <w:style w:type="paragraph" w:styleId="Noga">
    <w:name w:val="footer"/>
    <w:basedOn w:val="Navaden"/>
    <w:link w:val="NogaZnak"/>
    <w:uiPriority w:val="99"/>
    <w:unhideWhenUsed/>
    <w:rsid w:val="002C2C59"/>
    <w:pPr>
      <w:tabs>
        <w:tab w:val="center" w:pos="4536"/>
        <w:tab w:val="right" w:pos="9072"/>
      </w:tabs>
      <w:spacing w:after="0" w:line="240" w:lineRule="auto"/>
    </w:pPr>
  </w:style>
  <w:style w:type="character" w:customStyle="1" w:styleId="NogaZnak">
    <w:name w:val="Noga Znak"/>
    <w:basedOn w:val="Privzetapisavaodstavka"/>
    <w:link w:val="Noga"/>
    <w:uiPriority w:val="99"/>
    <w:rsid w:val="002C2C59"/>
  </w:style>
  <w:style w:type="table" w:styleId="Tabelamrea">
    <w:name w:val="Table Grid"/>
    <w:basedOn w:val="Navadnatabela"/>
    <w:uiPriority w:val="59"/>
    <w:rsid w:val="0066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basedOn w:val="Privzetapisavaodstavka"/>
    <w:link w:val="Brezrazmikov"/>
    <w:uiPriority w:val="1"/>
    <w:rsid w:val="0066042A"/>
  </w:style>
  <w:style w:type="character" w:styleId="Pripombasklic">
    <w:name w:val="annotation reference"/>
    <w:basedOn w:val="Privzetapisavaodstavka"/>
    <w:uiPriority w:val="99"/>
    <w:semiHidden/>
    <w:unhideWhenUsed/>
    <w:rsid w:val="00ED1D10"/>
    <w:rPr>
      <w:sz w:val="16"/>
      <w:szCs w:val="16"/>
    </w:rPr>
  </w:style>
  <w:style w:type="paragraph" w:styleId="Pripombabesedilo">
    <w:name w:val="annotation text"/>
    <w:basedOn w:val="Navaden"/>
    <w:link w:val="PripombabesediloZnak"/>
    <w:uiPriority w:val="99"/>
    <w:semiHidden/>
    <w:unhideWhenUsed/>
    <w:rsid w:val="00ED1D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1D10"/>
    <w:rPr>
      <w:sz w:val="20"/>
      <w:szCs w:val="20"/>
    </w:rPr>
  </w:style>
  <w:style w:type="paragraph" w:styleId="Zadevapripombe">
    <w:name w:val="annotation subject"/>
    <w:basedOn w:val="Pripombabesedilo"/>
    <w:next w:val="Pripombabesedilo"/>
    <w:link w:val="ZadevapripombeZnak"/>
    <w:uiPriority w:val="99"/>
    <w:semiHidden/>
    <w:unhideWhenUsed/>
    <w:rsid w:val="00ED1D10"/>
    <w:rPr>
      <w:b/>
      <w:bCs/>
    </w:rPr>
  </w:style>
  <w:style w:type="character" w:customStyle="1" w:styleId="ZadevapripombeZnak">
    <w:name w:val="Zadeva pripombe Znak"/>
    <w:basedOn w:val="PripombabesediloZnak"/>
    <w:link w:val="Zadevapripombe"/>
    <w:uiPriority w:val="99"/>
    <w:semiHidden/>
    <w:rsid w:val="00ED1D10"/>
    <w:rPr>
      <w:b/>
      <w:bCs/>
      <w:sz w:val="20"/>
      <w:szCs w:val="20"/>
    </w:rPr>
  </w:style>
  <w:style w:type="paragraph" w:styleId="Sprotnaopomba-besedilo">
    <w:name w:val="footnote text"/>
    <w:basedOn w:val="Navaden"/>
    <w:link w:val="Sprotnaopomba-besediloZnak"/>
    <w:uiPriority w:val="99"/>
    <w:unhideWhenUsed/>
    <w:rsid w:val="00210F1C"/>
    <w:pPr>
      <w:spacing w:after="0" w:line="240" w:lineRule="auto"/>
      <w:jc w:val="both"/>
    </w:pPr>
    <w:rPr>
      <w:sz w:val="20"/>
      <w:szCs w:val="20"/>
      <w:lang w:eastAsia="sl-SI"/>
    </w:rPr>
  </w:style>
  <w:style w:type="character" w:customStyle="1" w:styleId="Sprotnaopomba-besediloZnak">
    <w:name w:val="Sprotna opomba - besedilo Znak"/>
    <w:basedOn w:val="Privzetapisavaodstavka"/>
    <w:link w:val="Sprotnaopomba-besedilo"/>
    <w:uiPriority w:val="99"/>
    <w:rsid w:val="00210F1C"/>
    <w:rPr>
      <w:sz w:val="20"/>
      <w:szCs w:val="20"/>
      <w:lang w:eastAsia="sl-SI"/>
    </w:rPr>
  </w:style>
  <w:style w:type="character" w:styleId="Sprotnaopomba-sklic">
    <w:name w:val="footnote reference"/>
    <w:basedOn w:val="Privzetapisavaodstavka"/>
    <w:uiPriority w:val="99"/>
    <w:semiHidden/>
    <w:unhideWhenUsed/>
    <w:rsid w:val="00210F1C"/>
    <w:rPr>
      <w:vertAlign w:val="superscript"/>
    </w:rPr>
  </w:style>
  <w:style w:type="table" w:styleId="Svetelseznampoudarek1">
    <w:name w:val="Light List Accent 1"/>
    <w:basedOn w:val="Navadnatabela"/>
    <w:uiPriority w:val="61"/>
    <w:rsid w:val="00D172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zija">
    <w:name w:val="Revision"/>
    <w:hidden/>
    <w:uiPriority w:val="99"/>
    <w:semiHidden/>
    <w:rsid w:val="00F80F3F"/>
    <w:pPr>
      <w:spacing w:after="0" w:line="240" w:lineRule="auto"/>
    </w:pPr>
  </w:style>
  <w:style w:type="character" w:styleId="Nerazreenaomemba">
    <w:name w:val="Unresolved Mention"/>
    <w:basedOn w:val="Privzetapisavaodstavka"/>
    <w:uiPriority w:val="99"/>
    <w:semiHidden/>
    <w:unhideWhenUsed/>
    <w:rsid w:val="002D06F9"/>
    <w:rPr>
      <w:color w:val="605E5C"/>
      <w:shd w:val="clear" w:color="auto" w:fill="E1DFDD"/>
    </w:rPr>
  </w:style>
  <w:style w:type="character" w:styleId="SledenaHiperpovezava">
    <w:name w:val="FollowedHyperlink"/>
    <w:basedOn w:val="Privzetapisavaodstavka"/>
    <w:uiPriority w:val="99"/>
    <w:semiHidden/>
    <w:unhideWhenUsed/>
    <w:rsid w:val="002D0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9617">
      <w:bodyDiv w:val="1"/>
      <w:marLeft w:val="0"/>
      <w:marRight w:val="0"/>
      <w:marTop w:val="0"/>
      <w:marBottom w:val="0"/>
      <w:divBdr>
        <w:top w:val="none" w:sz="0" w:space="0" w:color="auto"/>
        <w:left w:val="none" w:sz="0" w:space="0" w:color="auto"/>
        <w:bottom w:val="none" w:sz="0" w:space="0" w:color="auto"/>
        <w:right w:val="none" w:sz="0" w:space="0" w:color="auto"/>
      </w:divBdr>
      <w:divsChild>
        <w:div w:id="1610241281">
          <w:marLeft w:val="0"/>
          <w:marRight w:val="0"/>
          <w:marTop w:val="0"/>
          <w:marBottom w:val="0"/>
          <w:divBdr>
            <w:top w:val="none" w:sz="0" w:space="0" w:color="auto"/>
            <w:left w:val="none" w:sz="0" w:space="0" w:color="auto"/>
            <w:bottom w:val="none" w:sz="0" w:space="0" w:color="auto"/>
            <w:right w:val="none" w:sz="0" w:space="0" w:color="auto"/>
          </w:divBdr>
          <w:divsChild>
            <w:div w:id="2044404727">
              <w:marLeft w:val="0"/>
              <w:marRight w:val="0"/>
              <w:marTop w:val="0"/>
              <w:marBottom w:val="0"/>
              <w:divBdr>
                <w:top w:val="none" w:sz="0" w:space="0" w:color="auto"/>
                <w:left w:val="none" w:sz="0" w:space="0" w:color="auto"/>
                <w:bottom w:val="none" w:sz="0" w:space="0" w:color="auto"/>
                <w:right w:val="none" w:sz="0" w:space="0" w:color="auto"/>
              </w:divBdr>
              <w:divsChild>
                <w:div w:id="544105135">
                  <w:marLeft w:val="0"/>
                  <w:marRight w:val="0"/>
                  <w:marTop w:val="0"/>
                  <w:marBottom w:val="0"/>
                  <w:divBdr>
                    <w:top w:val="none" w:sz="0" w:space="0" w:color="auto"/>
                    <w:left w:val="none" w:sz="0" w:space="0" w:color="auto"/>
                    <w:bottom w:val="none" w:sz="0" w:space="0" w:color="auto"/>
                    <w:right w:val="none" w:sz="0" w:space="0" w:color="auto"/>
                  </w:divBdr>
                  <w:divsChild>
                    <w:div w:id="123011843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 w:id="786579744">
      <w:bodyDiv w:val="1"/>
      <w:marLeft w:val="0"/>
      <w:marRight w:val="0"/>
      <w:marTop w:val="0"/>
      <w:marBottom w:val="0"/>
      <w:divBdr>
        <w:top w:val="none" w:sz="0" w:space="0" w:color="auto"/>
        <w:left w:val="none" w:sz="0" w:space="0" w:color="auto"/>
        <w:bottom w:val="none" w:sz="0" w:space="0" w:color="auto"/>
        <w:right w:val="none" w:sz="0" w:space="0" w:color="auto"/>
      </w:divBdr>
    </w:div>
    <w:div w:id="995956544">
      <w:bodyDiv w:val="1"/>
      <w:marLeft w:val="0"/>
      <w:marRight w:val="0"/>
      <w:marTop w:val="0"/>
      <w:marBottom w:val="0"/>
      <w:divBdr>
        <w:top w:val="none" w:sz="0" w:space="0" w:color="auto"/>
        <w:left w:val="none" w:sz="0" w:space="0" w:color="auto"/>
        <w:bottom w:val="none" w:sz="0" w:space="0" w:color="auto"/>
        <w:right w:val="none" w:sz="0" w:space="0" w:color="auto"/>
      </w:divBdr>
    </w:div>
    <w:div w:id="1135368277">
      <w:bodyDiv w:val="1"/>
      <w:marLeft w:val="0"/>
      <w:marRight w:val="0"/>
      <w:marTop w:val="0"/>
      <w:marBottom w:val="0"/>
      <w:divBdr>
        <w:top w:val="none" w:sz="0" w:space="0" w:color="auto"/>
        <w:left w:val="none" w:sz="0" w:space="0" w:color="auto"/>
        <w:bottom w:val="none" w:sz="0" w:space="0" w:color="auto"/>
        <w:right w:val="none" w:sz="0" w:space="0" w:color="auto"/>
      </w:divBdr>
      <w:divsChild>
        <w:div w:id="1355962702">
          <w:marLeft w:val="0"/>
          <w:marRight w:val="0"/>
          <w:marTop w:val="0"/>
          <w:marBottom w:val="0"/>
          <w:divBdr>
            <w:top w:val="none" w:sz="0" w:space="0" w:color="auto"/>
            <w:left w:val="none" w:sz="0" w:space="0" w:color="auto"/>
            <w:bottom w:val="none" w:sz="0" w:space="0" w:color="auto"/>
            <w:right w:val="none" w:sz="0" w:space="0" w:color="auto"/>
          </w:divBdr>
          <w:divsChild>
            <w:div w:id="2031832161">
              <w:marLeft w:val="0"/>
              <w:marRight w:val="0"/>
              <w:marTop w:val="0"/>
              <w:marBottom w:val="0"/>
              <w:divBdr>
                <w:top w:val="none" w:sz="0" w:space="0" w:color="auto"/>
                <w:left w:val="none" w:sz="0" w:space="0" w:color="auto"/>
                <w:bottom w:val="none" w:sz="0" w:space="0" w:color="auto"/>
                <w:right w:val="none" w:sz="0" w:space="0" w:color="auto"/>
              </w:divBdr>
              <w:divsChild>
                <w:div w:id="112871282">
                  <w:marLeft w:val="0"/>
                  <w:marRight w:val="0"/>
                  <w:marTop w:val="0"/>
                  <w:marBottom w:val="0"/>
                  <w:divBdr>
                    <w:top w:val="none" w:sz="0" w:space="0" w:color="auto"/>
                    <w:left w:val="none" w:sz="0" w:space="0" w:color="auto"/>
                    <w:bottom w:val="none" w:sz="0" w:space="0" w:color="auto"/>
                    <w:right w:val="none" w:sz="0" w:space="0" w:color="auto"/>
                  </w:divBdr>
                  <w:divsChild>
                    <w:div w:id="21152491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dc.europa.eu/en/healthtopics/antimicrobial_resistance/esac-net-database/Pages/quality-indicators-primary-care.aspx" TargetMode="External"/><Relationship Id="rId1" Type="http://schemas.openxmlformats.org/officeDocument/2006/relationships/hyperlink" Target="http://www.oecd.org/health/health-system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90FC-BA6E-488C-BECB-A6E74D1F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1762</Words>
  <Characters>10049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Marčun</dc:creator>
  <cp:lastModifiedBy>Jurij Fürst</cp:lastModifiedBy>
  <cp:revision>13</cp:revision>
  <cp:lastPrinted>2020-05-07T10:35:00Z</cp:lastPrinted>
  <dcterms:created xsi:type="dcterms:W3CDTF">2020-09-10T05:42:00Z</dcterms:created>
  <dcterms:modified xsi:type="dcterms:W3CDTF">2020-09-17T10:51:00Z</dcterms:modified>
</cp:coreProperties>
</file>