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ADF1" w14:textId="77777777" w:rsidR="0026237F" w:rsidRDefault="0026237F" w:rsidP="00800D5E">
      <w:pPr>
        <w:jc w:val="both"/>
        <w:rPr>
          <w:rFonts w:ascii="Helv" w:hAnsi="Helv" w:cs="Helv"/>
          <w:b/>
          <w:color w:val="000000"/>
          <w:sz w:val="18"/>
          <w:szCs w:val="20"/>
        </w:rPr>
      </w:pPr>
    </w:p>
    <w:p w14:paraId="3353ADF2" w14:textId="77777777" w:rsidR="0026488A" w:rsidRPr="00800D5E" w:rsidRDefault="00800D5E" w:rsidP="00800D5E">
      <w:pPr>
        <w:jc w:val="both"/>
        <w:rPr>
          <w:rFonts w:ascii="Helv" w:hAnsi="Helv" w:cs="Helv"/>
          <w:b/>
          <w:color w:val="000000"/>
          <w:sz w:val="18"/>
          <w:szCs w:val="20"/>
        </w:rPr>
      </w:pPr>
      <w:r w:rsidRPr="00800D5E">
        <w:rPr>
          <w:rFonts w:ascii="Helv" w:hAnsi="Helv" w:cs="Helv"/>
          <w:b/>
          <w:color w:val="000000"/>
          <w:sz w:val="18"/>
          <w:szCs w:val="20"/>
        </w:rPr>
        <w:t>POSTOPEK IZRAČUNA AVANSOV</w:t>
      </w:r>
    </w:p>
    <w:p w14:paraId="1D4DC330"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Zavod za zdravstveno zavarovanje Slovenije (v nadaljevanju Z</w:t>
      </w:r>
      <w:r>
        <w:rPr>
          <w:rFonts w:ascii="Helv" w:hAnsi="Helv" w:cs="Helv"/>
          <w:color w:val="000000"/>
          <w:sz w:val="18"/>
          <w:szCs w:val="20"/>
        </w:rPr>
        <w:t>ZZS</w:t>
      </w:r>
      <w:r w:rsidRPr="00800D5E">
        <w:rPr>
          <w:rFonts w:ascii="Helv" w:hAnsi="Helv" w:cs="Helv"/>
          <w:color w:val="000000"/>
          <w:sz w:val="18"/>
          <w:szCs w:val="20"/>
        </w:rPr>
        <w:t>) mesečno izračunava višino avansa za izvajalce zdra</w:t>
      </w:r>
      <w:r>
        <w:rPr>
          <w:rFonts w:ascii="Helv" w:hAnsi="Helv" w:cs="Helv"/>
          <w:color w:val="000000"/>
          <w:sz w:val="18"/>
          <w:szCs w:val="20"/>
        </w:rPr>
        <w:t>vstvenih storitev, ki imajo z ZZZS</w:t>
      </w:r>
      <w:r w:rsidRPr="00800D5E">
        <w:rPr>
          <w:rFonts w:ascii="Helv" w:hAnsi="Helv" w:cs="Helv"/>
          <w:color w:val="000000"/>
          <w:sz w:val="18"/>
          <w:szCs w:val="20"/>
        </w:rPr>
        <w:t xml:space="preserve"> sklenjeno pogodbo in ki </w:t>
      </w:r>
      <w:r>
        <w:rPr>
          <w:rFonts w:ascii="Helv" w:hAnsi="Helv" w:cs="Helv"/>
          <w:color w:val="000000"/>
          <w:sz w:val="18"/>
          <w:szCs w:val="20"/>
        </w:rPr>
        <w:t>ZZZS</w:t>
      </w:r>
      <w:r w:rsidRPr="00800D5E">
        <w:rPr>
          <w:rFonts w:ascii="Helv" w:hAnsi="Helv" w:cs="Helv"/>
          <w:color w:val="000000"/>
          <w:sz w:val="18"/>
          <w:szCs w:val="20"/>
        </w:rPr>
        <w:t xml:space="preserve"> mesečno izstavljajo poročila o opravljenem delu.</w:t>
      </w:r>
    </w:p>
    <w:p w14:paraId="4B45D337"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50C4D4F6"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Izračun avansa za posameznega izvajalca temelji na zadnjem veljavnem finančnem načrtu za mesec, za katerega se računa avans in se praviloma med mesecem ne spreminja. Avans se določi za posamezno pogodbeno dogovorjeno dejavnost</w:t>
      </w:r>
      <w:r>
        <w:rPr>
          <w:rFonts w:ascii="Helv" w:hAnsi="Helv" w:cs="Helv"/>
          <w:color w:val="000000"/>
          <w:sz w:val="18"/>
          <w:szCs w:val="20"/>
        </w:rPr>
        <w:t>,</w:t>
      </w:r>
      <w:r w:rsidRPr="00800D5E">
        <w:rPr>
          <w:rFonts w:ascii="Helv" w:hAnsi="Helv" w:cs="Helv"/>
          <w:color w:val="000000"/>
          <w:sz w:val="18"/>
          <w:szCs w:val="20"/>
        </w:rPr>
        <w:t xml:space="preserve"> in sicer ločeno za storitve in ločeno za </w:t>
      </w:r>
      <w:r>
        <w:rPr>
          <w:rFonts w:ascii="Helv" w:hAnsi="Helv" w:cs="Helv"/>
          <w:color w:val="000000"/>
          <w:sz w:val="18"/>
          <w:szCs w:val="20"/>
        </w:rPr>
        <w:t xml:space="preserve">ločeno </w:t>
      </w:r>
      <w:r w:rsidRPr="00800D5E">
        <w:rPr>
          <w:rFonts w:ascii="Helv" w:hAnsi="Helv" w:cs="Helv"/>
          <w:color w:val="000000"/>
          <w:sz w:val="18"/>
          <w:szCs w:val="20"/>
        </w:rPr>
        <w:t xml:space="preserve">zaračunljiv material (v nadaljevanju LZM). Podlaga za določitev višine avansa za posamezno pogodbeno dogovorjeno dejavnost sta mesečna vrednost programa brez LZM in mesečna planirana vrednost LZM. Tako mesečna vrednost programa kot mesečna planirana vrednost LZM se pred izračunom </w:t>
      </w:r>
      <w:r>
        <w:rPr>
          <w:rFonts w:ascii="Helv" w:hAnsi="Helv" w:cs="Helv"/>
          <w:color w:val="000000"/>
          <w:sz w:val="18"/>
          <w:szCs w:val="20"/>
        </w:rPr>
        <w:t>spremenita</w:t>
      </w:r>
      <w:r w:rsidRPr="00800D5E">
        <w:rPr>
          <w:rFonts w:ascii="Helv" w:hAnsi="Helv" w:cs="Helv"/>
          <w:color w:val="000000"/>
          <w:sz w:val="18"/>
          <w:szCs w:val="20"/>
        </w:rPr>
        <w:t xml:space="preserve"> v tekoče cene po zadnjih znanih izhodiščih.</w:t>
      </w:r>
    </w:p>
    <w:p w14:paraId="2A2AB9C9"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44261462"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Pr>
          <w:rFonts w:ascii="Helv" w:hAnsi="Helv" w:cs="Helv"/>
          <w:color w:val="000000"/>
          <w:sz w:val="18"/>
          <w:szCs w:val="20"/>
        </w:rPr>
        <w:t>V</w:t>
      </w:r>
      <w:r w:rsidRPr="00800D5E">
        <w:rPr>
          <w:rFonts w:ascii="Helv" w:hAnsi="Helv" w:cs="Helv"/>
          <w:color w:val="000000"/>
          <w:sz w:val="18"/>
          <w:szCs w:val="20"/>
        </w:rPr>
        <w:t xml:space="preserve">rednost programa brez LZM in mesečna planirana vrednost LZM se nadalje korigirata še s povprečnim deležem </w:t>
      </w:r>
      <w:r>
        <w:rPr>
          <w:rFonts w:ascii="Helv" w:hAnsi="Helv" w:cs="Helv"/>
          <w:color w:val="000000"/>
          <w:sz w:val="18"/>
          <w:szCs w:val="20"/>
        </w:rPr>
        <w:t xml:space="preserve">obveznega zdravstvenega zavarovanja (v nadaljevanju </w:t>
      </w:r>
      <w:r w:rsidRPr="00800D5E">
        <w:rPr>
          <w:rFonts w:ascii="Helv" w:hAnsi="Helv" w:cs="Helv"/>
          <w:color w:val="000000"/>
          <w:sz w:val="18"/>
          <w:szCs w:val="20"/>
        </w:rPr>
        <w:t>OZZ</w:t>
      </w:r>
      <w:r>
        <w:rPr>
          <w:rFonts w:ascii="Helv" w:hAnsi="Helv" w:cs="Helv"/>
          <w:color w:val="000000"/>
          <w:sz w:val="18"/>
          <w:szCs w:val="20"/>
        </w:rPr>
        <w:t>)</w:t>
      </w:r>
      <w:r w:rsidRPr="00800D5E">
        <w:rPr>
          <w:rFonts w:ascii="Helv" w:hAnsi="Helv" w:cs="Helv"/>
          <w:color w:val="000000"/>
          <w:sz w:val="18"/>
          <w:szCs w:val="20"/>
        </w:rPr>
        <w:t xml:space="preserve"> in deležem doseganja plana oz. % realizacije preteklega koledarskega leta. Podatka (povprečni delež OZZ in % doseganja plana) se lahko po potrebi ročno med letom spreminjata</w:t>
      </w:r>
      <w:r>
        <w:rPr>
          <w:rFonts w:ascii="Helv" w:hAnsi="Helv" w:cs="Helv"/>
          <w:color w:val="000000"/>
          <w:sz w:val="18"/>
          <w:szCs w:val="20"/>
        </w:rPr>
        <w:t>, in sicer na podlagi zadnjih znanih podatkov</w:t>
      </w:r>
      <w:r w:rsidRPr="00800D5E">
        <w:rPr>
          <w:rFonts w:ascii="Helv" w:hAnsi="Helv" w:cs="Helv"/>
          <w:color w:val="000000"/>
          <w:sz w:val="18"/>
          <w:szCs w:val="20"/>
        </w:rPr>
        <w:t>. O tem presodi odgovorna oseba za izračun</w:t>
      </w:r>
      <w:r>
        <w:rPr>
          <w:rFonts w:ascii="Helv" w:hAnsi="Helv" w:cs="Helv"/>
          <w:color w:val="000000"/>
          <w:sz w:val="18"/>
          <w:szCs w:val="20"/>
        </w:rPr>
        <w:t xml:space="preserve"> avansa</w:t>
      </w:r>
      <w:r w:rsidRPr="00800D5E">
        <w:rPr>
          <w:rFonts w:ascii="Helv" w:hAnsi="Helv" w:cs="Helv"/>
          <w:color w:val="000000"/>
          <w:sz w:val="18"/>
          <w:szCs w:val="20"/>
        </w:rPr>
        <w:t>. Razlog</w:t>
      </w:r>
      <w:r>
        <w:rPr>
          <w:rFonts w:ascii="Helv" w:hAnsi="Helv" w:cs="Helv"/>
          <w:color w:val="000000"/>
          <w:sz w:val="18"/>
          <w:szCs w:val="20"/>
        </w:rPr>
        <w:t xml:space="preserve"> zato</w:t>
      </w:r>
      <w:r w:rsidRPr="00800D5E">
        <w:rPr>
          <w:rFonts w:ascii="Helv" w:hAnsi="Helv" w:cs="Helv"/>
          <w:color w:val="000000"/>
          <w:sz w:val="18"/>
          <w:szCs w:val="20"/>
        </w:rPr>
        <w:t xml:space="preserve"> je npr: daljša nerealizacija storitev s strani izvajalca, sprememba tekočega deleža OZZ glede na preteklo koledarsko leto, sprememba Sklep</w:t>
      </w:r>
      <w:r>
        <w:rPr>
          <w:rFonts w:ascii="Helv" w:hAnsi="Helv" w:cs="Helv"/>
          <w:color w:val="000000"/>
          <w:sz w:val="18"/>
          <w:szCs w:val="20"/>
        </w:rPr>
        <w:t>a</w:t>
      </w:r>
      <w:r w:rsidRPr="00800D5E">
        <w:rPr>
          <w:rFonts w:ascii="Helv" w:hAnsi="Helv" w:cs="Helv"/>
          <w:color w:val="000000"/>
          <w:sz w:val="18"/>
          <w:szCs w:val="20"/>
        </w:rPr>
        <w:t xml:space="preserve"> o določitvi deleža OZZ, ...</w:t>
      </w:r>
    </w:p>
    <w:p w14:paraId="03E8CE92"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154957C9" w14:textId="77777777" w:rsidR="002D0EC6"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 xml:space="preserve">Končna vrednost avansa se lahko </w:t>
      </w:r>
      <w:r w:rsidRPr="00E63CD4">
        <w:rPr>
          <w:rFonts w:ascii="Helv" w:hAnsi="Helv" w:cs="Helv"/>
          <w:b/>
          <w:color w:val="000000"/>
          <w:sz w:val="18"/>
          <w:szCs w:val="20"/>
        </w:rPr>
        <w:t>v drugi fazi korigira tudi zaradi naslednjih razlogov</w:t>
      </w:r>
      <w:r w:rsidRPr="00800D5E">
        <w:rPr>
          <w:rFonts w:ascii="Helv" w:hAnsi="Helv" w:cs="Helv"/>
          <w:color w:val="000000"/>
          <w:sz w:val="18"/>
          <w:szCs w:val="20"/>
        </w:rPr>
        <w:t>:</w:t>
      </w:r>
    </w:p>
    <w:p w14:paraId="39B97BF5"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1BD539DA" w14:textId="77777777" w:rsidR="002D0EC6" w:rsidRPr="00E63CD4" w:rsidRDefault="002D0EC6" w:rsidP="002D0EC6">
      <w:pPr>
        <w:pStyle w:val="Odstavekseznama"/>
        <w:numPr>
          <w:ilvl w:val="0"/>
          <w:numId w:val="2"/>
        </w:numPr>
        <w:autoSpaceDE w:val="0"/>
        <w:autoSpaceDN w:val="0"/>
        <w:adjustRightInd w:val="0"/>
        <w:spacing w:after="0" w:line="240" w:lineRule="auto"/>
        <w:jc w:val="both"/>
        <w:rPr>
          <w:rFonts w:ascii="Helv" w:hAnsi="Helv" w:cs="Helv"/>
          <w:color w:val="000000"/>
          <w:sz w:val="18"/>
          <w:szCs w:val="20"/>
        </w:rPr>
      </w:pPr>
      <w:r w:rsidRPr="00E63CD4">
        <w:rPr>
          <w:rFonts w:ascii="Helv" w:hAnsi="Helv" w:cs="Helv"/>
          <w:b/>
          <w:color w:val="000000"/>
          <w:sz w:val="18"/>
          <w:szCs w:val="20"/>
        </w:rPr>
        <w:t xml:space="preserve">korekcija avansa </w:t>
      </w:r>
      <w:r w:rsidRPr="00E63CD4">
        <w:rPr>
          <w:rFonts w:ascii="Helv" w:hAnsi="Helv" w:cs="Helv"/>
          <w:color w:val="000000"/>
          <w:sz w:val="18"/>
          <w:szCs w:val="20"/>
        </w:rPr>
        <w:t xml:space="preserve">zaradi preplačil avansa glede na izvedeni obračun (v kolikor je prišlo v obračunskem obdobju do preplačila avansa glede na izvedeni obračun, se razlika upošteva kot minus sredstva v izračunu avansa za tekoči mesec). Ta razlika se običajno poračuna pri prvem izračunu avansa po izvedenem obračunu (primer: preplačila </w:t>
      </w:r>
      <w:r>
        <w:rPr>
          <w:rFonts w:ascii="Helv" w:hAnsi="Helv" w:cs="Helv"/>
          <w:color w:val="000000"/>
          <w:sz w:val="18"/>
          <w:szCs w:val="20"/>
        </w:rPr>
        <w:t xml:space="preserve">obdobja </w:t>
      </w:r>
      <w:r w:rsidRPr="00E63CD4">
        <w:rPr>
          <w:rFonts w:ascii="Helv" w:hAnsi="Helv" w:cs="Helv"/>
          <w:color w:val="000000"/>
          <w:sz w:val="18"/>
          <w:szCs w:val="20"/>
        </w:rPr>
        <w:t>1-6 se bodo lahko upoštevala v avansih za mesec oktober).</w:t>
      </w:r>
    </w:p>
    <w:p w14:paraId="5E191D7C" w14:textId="77777777" w:rsidR="002D0EC6" w:rsidRPr="00E63CD4" w:rsidRDefault="002D0EC6" w:rsidP="002D0EC6">
      <w:pPr>
        <w:pStyle w:val="Odstavekseznama"/>
        <w:autoSpaceDE w:val="0"/>
        <w:autoSpaceDN w:val="0"/>
        <w:adjustRightInd w:val="0"/>
        <w:spacing w:after="0" w:line="240" w:lineRule="auto"/>
        <w:jc w:val="both"/>
        <w:rPr>
          <w:rFonts w:ascii="Helv" w:hAnsi="Helv" w:cs="Helv"/>
          <w:color w:val="000000"/>
          <w:sz w:val="18"/>
          <w:szCs w:val="20"/>
        </w:rPr>
      </w:pPr>
    </w:p>
    <w:p w14:paraId="048D0E38" w14:textId="77777777" w:rsidR="002D0EC6" w:rsidRPr="00E63CD4" w:rsidRDefault="002D0EC6" w:rsidP="002D0EC6">
      <w:pPr>
        <w:pStyle w:val="Odstavekseznama"/>
        <w:numPr>
          <w:ilvl w:val="0"/>
          <w:numId w:val="2"/>
        </w:numPr>
        <w:autoSpaceDE w:val="0"/>
        <w:autoSpaceDN w:val="0"/>
        <w:adjustRightInd w:val="0"/>
        <w:spacing w:after="0" w:line="240" w:lineRule="auto"/>
        <w:jc w:val="both"/>
        <w:rPr>
          <w:rFonts w:ascii="Helv" w:hAnsi="Helv" w:cs="Helv"/>
          <w:color w:val="000000"/>
          <w:sz w:val="18"/>
          <w:szCs w:val="20"/>
        </w:rPr>
      </w:pPr>
      <w:r w:rsidRPr="00E63CD4">
        <w:rPr>
          <w:rFonts w:ascii="Helv" w:hAnsi="Helv" w:cs="Helv"/>
          <w:b/>
          <w:color w:val="000000"/>
          <w:sz w:val="18"/>
          <w:szCs w:val="20"/>
        </w:rPr>
        <w:t>poračuni za nazaj</w:t>
      </w:r>
      <w:r>
        <w:rPr>
          <w:rFonts w:ascii="Helv" w:hAnsi="Helv" w:cs="Helv"/>
          <w:color w:val="000000"/>
          <w:sz w:val="18"/>
          <w:szCs w:val="20"/>
        </w:rPr>
        <w:t xml:space="preserve"> npr. na podlagi določil </w:t>
      </w:r>
      <w:r w:rsidRPr="007A16D3">
        <w:rPr>
          <w:rFonts w:ascii="Helv" w:hAnsi="Helv" w:cs="Helv"/>
          <w:color w:val="000000"/>
          <w:sz w:val="18"/>
          <w:szCs w:val="20"/>
        </w:rPr>
        <w:t>dogovor</w:t>
      </w:r>
      <w:r>
        <w:rPr>
          <w:rFonts w:ascii="Helv" w:hAnsi="Helv" w:cs="Helv"/>
          <w:color w:val="000000"/>
          <w:sz w:val="18"/>
          <w:szCs w:val="20"/>
        </w:rPr>
        <w:t>a</w:t>
      </w:r>
      <w:r w:rsidRPr="007A16D3">
        <w:rPr>
          <w:rFonts w:ascii="Helv" w:hAnsi="Helv" w:cs="Helv"/>
          <w:color w:val="000000"/>
          <w:sz w:val="18"/>
          <w:szCs w:val="20"/>
        </w:rPr>
        <w:t xml:space="preserve"> o programih zdravstvenih storitev</w:t>
      </w:r>
      <w:r w:rsidRPr="00E63CD4">
        <w:rPr>
          <w:rFonts w:ascii="Helv" w:hAnsi="Helv" w:cs="Helv"/>
          <w:color w:val="000000"/>
          <w:sz w:val="18"/>
          <w:szCs w:val="20"/>
        </w:rPr>
        <w:t xml:space="preserve">. </w:t>
      </w:r>
      <w:r>
        <w:rPr>
          <w:rFonts w:ascii="Helv" w:hAnsi="Helv" w:cs="Helv"/>
          <w:color w:val="000000"/>
          <w:sz w:val="18"/>
          <w:szCs w:val="20"/>
        </w:rPr>
        <w:t>Zaradi tega, d</w:t>
      </w:r>
      <w:r w:rsidRPr="00E63CD4">
        <w:rPr>
          <w:rFonts w:ascii="Helv" w:hAnsi="Helv" w:cs="Helv"/>
          <w:color w:val="000000"/>
          <w:sz w:val="18"/>
          <w:szCs w:val="20"/>
        </w:rPr>
        <w:t>a ne pride do velikih odstopanj med danimi avansi in obračunom</w:t>
      </w:r>
      <w:r>
        <w:rPr>
          <w:rFonts w:ascii="Helv" w:hAnsi="Helv" w:cs="Helv"/>
          <w:color w:val="000000"/>
          <w:sz w:val="18"/>
          <w:szCs w:val="20"/>
        </w:rPr>
        <w:t>,</w:t>
      </w:r>
      <w:r w:rsidRPr="00E63CD4">
        <w:rPr>
          <w:rFonts w:ascii="Helv" w:hAnsi="Helv" w:cs="Helv"/>
          <w:color w:val="000000"/>
          <w:sz w:val="18"/>
          <w:szCs w:val="20"/>
        </w:rPr>
        <w:t xml:space="preserve"> zaradi</w:t>
      </w:r>
      <w:r>
        <w:rPr>
          <w:rFonts w:ascii="Helv" w:hAnsi="Helv" w:cs="Helv"/>
          <w:color w:val="000000"/>
          <w:sz w:val="18"/>
          <w:szCs w:val="20"/>
        </w:rPr>
        <w:t xml:space="preserve"> pozno sprejetih določil </w:t>
      </w:r>
      <w:r w:rsidRPr="007A16D3">
        <w:rPr>
          <w:rFonts w:ascii="Helv" w:hAnsi="Helv" w:cs="Helv"/>
          <w:color w:val="000000"/>
          <w:sz w:val="18"/>
          <w:szCs w:val="20"/>
        </w:rPr>
        <w:t>dogovor</w:t>
      </w:r>
      <w:r>
        <w:rPr>
          <w:rFonts w:ascii="Helv" w:hAnsi="Helv" w:cs="Helv"/>
          <w:color w:val="000000"/>
          <w:sz w:val="18"/>
          <w:szCs w:val="20"/>
        </w:rPr>
        <w:t>a</w:t>
      </w:r>
      <w:r w:rsidRPr="007A16D3">
        <w:rPr>
          <w:rFonts w:ascii="Helv" w:hAnsi="Helv" w:cs="Helv"/>
          <w:color w:val="000000"/>
          <w:sz w:val="18"/>
          <w:szCs w:val="20"/>
        </w:rPr>
        <w:t xml:space="preserve"> o programih zdravstvenih storitev</w:t>
      </w:r>
      <w:r>
        <w:rPr>
          <w:rFonts w:ascii="Helv" w:hAnsi="Helv" w:cs="Helv"/>
          <w:color w:val="000000"/>
          <w:sz w:val="18"/>
          <w:szCs w:val="20"/>
        </w:rPr>
        <w:t xml:space="preserve">, </w:t>
      </w:r>
      <w:r w:rsidRPr="00E63CD4">
        <w:rPr>
          <w:rFonts w:ascii="Helv" w:hAnsi="Helv" w:cs="Helv"/>
          <w:color w:val="000000"/>
          <w:sz w:val="18"/>
          <w:szCs w:val="20"/>
        </w:rPr>
        <w:t xml:space="preserve">ima odgovorna oseba za pripravo avansa možnost te razlike v avansih upoštevati že pred samo izvedbo obračuna (primer: </w:t>
      </w:r>
      <w:r>
        <w:rPr>
          <w:rFonts w:ascii="Helv" w:hAnsi="Helv" w:cs="Helv"/>
          <w:color w:val="000000"/>
          <w:sz w:val="18"/>
          <w:szCs w:val="20"/>
        </w:rPr>
        <w:t xml:space="preserve">sprememba </w:t>
      </w:r>
      <w:r w:rsidRPr="007A16D3">
        <w:rPr>
          <w:rFonts w:ascii="Helv" w:hAnsi="Helv" w:cs="Helv"/>
          <w:color w:val="000000"/>
          <w:sz w:val="18"/>
          <w:szCs w:val="20"/>
        </w:rPr>
        <w:t>dogovor</w:t>
      </w:r>
      <w:r>
        <w:rPr>
          <w:rFonts w:ascii="Helv" w:hAnsi="Helv" w:cs="Helv"/>
          <w:color w:val="000000"/>
          <w:sz w:val="18"/>
          <w:szCs w:val="20"/>
        </w:rPr>
        <w:t>a</w:t>
      </w:r>
      <w:r w:rsidRPr="007A16D3">
        <w:rPr>
          <w:rFonts w:ascii="Helv" w:hAnsi="Helv" w:cs="Helv"/>
          <w:color w:val="000000"/>
          <w:sz w:val="18"/>
          <w:szCs w:val="20"/>
        </w:rPr>
        <w:t xml:space="preserve"> o programih zdravstvenih storitev</w:t>
      </w:r>
      <w:r w:rsidRPr="00E63CD4">
        <w:rPr>
          <w:rFonts w:ascii="Helv" w:hAnsi="Helv" w:cs="Helv"/>
          <w:color w:val="000000"/>
          <w:sz w:val="18"/>
          <w:szCs w:val="20"/>
        </w:rPr>
        <w:t xml:space="preserve"> znižuje amortizacijo od 1.</w:t>
      </w:r>
      <w:r>
        <w:rPr>
          <w:rFonts w:ascii="Helv" w:hAnsi="Helv" w:cs="Helv"/>
          <w:color w:val="000000"/>
          <w:sz w:val="18"/>
          <w:szCs w:val="20"/>
        </w:rPr>
        <w:t xml:space="preserve"> </w:t>
      </w:r>
      <w:r w:rsidRPr="00E63CD4">
        <w:rPr>
          <w:rFonts w:ascii="Helv" w:hAnsi="Helv" w:cs="Helv"/>
          <w:color w:val="000000"/>
          <w:sz w:val="18"/>
          <w:szCs w:val="20"/>
        </w:rPr>
        <w:t>1. dalje, kar v obdobju 1-8 še</w:t>
      </w:r>
      <w:r>
        <w:rPr>
          <w:rFonts w:ascii="Helv" w:hAnsi="Helv" w:cs="Helv"/>
          <w:color w:val="000000"/>
          <w:sz w:val="18"/>
          <w:szCs w:val="20"/>
        </w:rPr>
        <w:t xml:space="preserve"> ni</w:t>
      </w:r>
      <w:r w:rsidRPr="00E63CD4">
        <w:rPr>
          <w:rFonts w:ascii="Helv" w:hAnsi="Helv" w:cs="Helv"/>
          <w:color w:val="000000"/>
          <w:sz w:val="18"/>
          <w:szCs w:val="20"/>
        </w:rPr>
        <w:t xml:space="preserve"> </w:t>
      </w:r>
      <w:r>
        <w:rPr>
          <w:rFonts w:ascii="Helv" w:hAnsi="Helv" w:cs="Helv"/>
          <w:color w:val="000000"/>
          <w:sz w:val="18"/>
          <w:szCs w:val="20"/>
        </w:rPr>
        <w:t>bilo</w:t>
      </w:r>
      <w:r w:rsidRPr="00E63CD4">
        <w:rPr>
          <w:rFonts w:ascii="Helv" w:hAnsi="Helv" w:cs="Helv"/>
          <w:color w:val="000000"/>
          <w:sz w:val="18"/>
          <w:szCs w:val="20"/>
        </w:rPr>
        <w:t xml:space="preserve"> upoštevano v finančnih načrtih. Da ne bo prišlo do preplačil, so avansi od 1.</w:t>
      </w:r>
      <w:r>
        <w:rPr>
          <w:rFonts w:ascii="Helv" w:hAnsi="Helv" w:cs="Helv"/>
          <w:color w:val="000000"/>
          <w:sz w:val="18"/>
          <w:szCs w:val="20"/>
        </w:rPr>
        <w:t xml:space="preserve"> </w:t>
      </w:r>
      <w:r w:rsidRPr="00E63CD4">
        <w:rPr>
          <w:rFonts w:ascii="Helv" w:hAnsi="Helv" w:cs="Helv"/>
          <w:color w:val="000000"/>
          <w:sz w:val="18"/>
          <w:szCs w:val="20"/>
        </w:rPr>
        <w:t>9. dalje znižani tudi za razliko iz obdobja 1-8).</w:t>
      </w:r>
    </w:p>
    <w:p w14:paraId="32672A99" w14:textId="77777777" w:rsidR="002D0EC6" w:rsidRPr="00E63CD4" w:rsidRDefault="002D0EC6" w:rsidP="002D0EC6">
      <w:pPr>
        <w:autoSpaceDE w:val="0"/>
        <w:autoSpaceDN w:val="0"/>
        <w:adjustRightInd w:val="0"/>
        <w:spacing w:after="0" w:line="240" w:lineRule="auto"/>
        <w:jc w:val="both"/>
        <w:rPr>
          <w:rFonts w:ascii="Helv" w:hAnsi="Helv" w:cs="Helv"/>
          <w:color w:val="000000"/>
          <w:sz w:val="18"/>
          <w:szCs w:val="20"/>
        </w:rPr>
      </w:pPr>
    </w:p>
    <w:p w14:paraId="3ADA0886" w14:textId="77777777" w:rsidR="002D0EC6" w:rsidRPr="00E63CD4" w:rsidRDefault="002D0EC6" w:rsidP="002D0EC6">
      <w:pPr>
        <w:pStyle w:val="Odstavekseznama"/>
        <w:numPr>
          <w:ilvl w:val="0"/>
          <w:numId w:val="2"/>
        </w:numPr>
        <w:autoSpaceDE w:val="0"/>
        <w:autoSpaceDN w:val="0"/>
        <w:adjustRightInd w:val="0"/>
        <w:spacing w:after="0" w:line="240" w:lineRule="auto"/>
        <w:jc w:val="both"/>
        <w:rPr>
          <w:rFonts w:ascii="Helv" w:hAnsi="Helv" w:cs="Helv"/>
          <w:color w:val="000000"/>
          <w:sz w:val="18"/>
          <w:szCs w:val="20"/>
        </w:rPr>
      </w:pPr>
      <w:r w:rsidRPr="00E63CD4">
        <w:rPr>
          <w:rFonts w:ascii="Helv" w:hAnsi="Helv" w:cs="Helv"/>
          <w:b/>
          <w:color w:val="000000"/>
          <w:sz w:val="18"/>
          <w:szCs w:val="20"/>
        </w:rPr>
        <w:t>individualni popravki</w:t>
      </w:r>
      <w:r w:rsidRPr="00E63CD4">
        <w:rPr>
          <w:rFonts w:ascii="Helv" w:hAnsi="Helv" w:cs="Helv"/>
          <w:color w:val="000000"/>
          <w:sz w:val="18"/>
          <w:szCs w:val="20"/>
        </w:rPr>
        <w:t xml:space="preserve">, ki so lahko posledica sklepa arbitraže na pogodbo, prenosov programa, itd. </w:t>
      </w:r>
    </w:p>
    <w:p w14:paraId="5985C775" w14:textId="77777777" w:rsidR="002D0EC6" w:rsidRPr="00E63CD4" w:rsidRDefault="002D0EC6" w:rsidP="002D0EC6">
      <w:pPr>
        <w:pStyle w:val="Odstavekseznama"/>
        <w:autoSpaceDE w:val="0"/>
        <w:autoSpaceDN w:val="0"/>
        <w:adjustRightInd w:val="0"/>
        <w:spacing w:after="0" w:line="240" w:lineRule="auto"/>
        <w:jc w:val="both"/>
        <w:rPr>
          <w:rFonts w:ascii="Helv" w:hAnsi="Helv" w:cs="Helv"/>
          <w:color w:val="000000"/>
          <w:sz w:val="18"/>
          <w:szCs w:val="20"/>
        </w:rPr>
      </w:pPr>
    </w:p>
    <w:p w14:paraId="7C41B7FB" w14:textId="77777777" w:rsidR="002D0EC6" w:rsidRDefault="002D0EC6" w:rsidP="002D0EC6">
      <w:pPr>
        <w:autoSpaceDE w:val="0"/>
        <w:autoSpaceDN w:val="0"/>
        <w:adjustRightInd w:val="0"/>
        <w:spacing w:after="0" w:line="240" w:lineRule="auto"/>
        <w:jc w:val="both"/>
        <w:rPr>
          <w:rFonts w:ascii="Helv" w:hAnsi="Helv" w:cs="Helv"/>
          <w:color w:val="000000"/>
          <w:sz w:val="18"/>
          <w:szCs w:val="20"/>
        </w:rPr>
      </w:pPr>
    </w:p>
    <w:p w14:paraId="003C0848" w14:textId="77777777" w:rsidR="002D0EC6" w:rsidRPr="002E2E17" w:rsidRDefault="002D0EC6" w:rsidP="002D0EC6">
      <w:pPr>
        <w:autoSpaceDE w:val="0"/>
        <w:autoSpaceDN w:val="0"/>
        <w:adjustRightInd w:val="0"/>
        <w:spacing w:after="0" w:line="240" w:lineRule="auto"/>
        <w:jc w:val="both"/>
        <w:rPr>
          <w:rFonts w:ascii="Helv" w:hAnsi="Helv" w:cs="Helv"/>
          <w:i/>
          <w:color w:val="000000"/>
          <w:sz w:val="18"/>
          <w:szCs w:val="20"/>
        </w:rPr>
      </w:pPr>
      <w:r w:rsidRPr="002E2E17">
        <w:rPr>
          <w:rFonts w:ascii="Helv" w:hAnsi="Helv" w:cs="Helv"/>
          <w:i/>
          <w:color w:val="000000"/>
          <w:sz w:val="18"/>
          <w:szCs w:val="20"/>
        </w:rPr>
        <w:t>PRIMER IZRAČUNA</w:t>
      </w:r>
      <w:r>
        <w:rPr>
          <w:rFonts w:ascii="Helv" w:hAnsi="Helv" w:cs="Helv"/>
          <w:i/>
          <w:color w:val="000000"/>
          <w:sz w:val="18"/>
          <w:szCs w:val="20"/>
        </w:rPr>
        <w:t>:</w:t>
      </w:r>
    </w:p>
    <w:p w14:paraId="1A165B72"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Izvajalec Janez NOVAK</w:t>
      </w:r>
    </w:p>
    <w:p w14:paraId="66BEDB1C" w14:textId="37784EF4"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 xml:space="preserve">izračun avansa za mesec </w:t>
      </w:r>
      <w:r>
        <w:rPr>
          <w:rFonts w:ascii="Helv" w:hAnsi="Helv" w:cs="Helv"/>
          <w:color w:val="000000"/>
          <w:sz w:val="18"/>
          <w:szCs w:val="20"/>
        </w:rPr>
        <w:t>12</w:t>
      </w:r>
      <w:r w:rsidRPr="00800D5E">
        <w:rPr>
          <w:rFonts w:ascii="Helv" w:hAnsi="Helv" w:cs="Helv"/>
          <w:color w:val="000000"/>
          <w:sz w:val="18"/>
          <w:szCs w:val="20"/>
        </w:rPr>
        <w:t>/20</w:t>
      </w:r>
    </w:p>
    <w:p w14:paraId="42E8C04E"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tbl>
      <w:tblPr>
        <w:tblStyle w:val="Tabelamrea"/>
        <w:tblW w:w="9448" w:type="dxa"/>
        <w:tblLook w:val="04A0" w:firstRow="1" w:lastRow="0" w:firstColumn="1" w:lastColumn="0" w:noHBand="0" w:noVBand="1"/>
      </w:tblPr>
      <w:tblGrid>
        <w:gridCol w:w="1552"/>
        <w:gridCol w:w="1533"/>
        <w:gridCol w:w="1099"/>
        <w:gridCol w:w="1594"/>
        <w:gridCol w:w="1038"/>
        <w:gridCol w:w="1316"/>
        <w:gridCol w:w="1316"/>
      </w:tblGrid>
      <w:tr w:rsidR="002D0EC6" w:rsidRPr="00202038" w14:paraId="178D826A" w14:textId="77777777" w:rsidTr="00D61B15">
        <w:tc>
          <w:tcPr>
            <w:tcW w:w="1552" w:type="dxa"/>
          </w:tcPr>
          <w:p w14:paraId="76265B68" w14:textId="77777777" w:rsidR="002D0EC6" w:rsidRPr="00202038" w:rsidRDefault="002D0EC6" w:rsidP="00D61B15">
            <w:pPr>
              <w:autoSpaceDE w:val="0"/>
              <w:autoSpaceDN w:val="0"/>
              <w:adjustRightInd w:val="0"/>
              <w:jc w:val="both"/>
              <w:rPr>
                <w:rFonts w:ascii="Helv" w:hAnsi="Helv" w:cs="Helv"/>
                <w:color w:val="000000"/>
                <w:sz w:val="18"/>
                <w:szCs w:val="18"/>
              </w:rPr>
            </w:pPr>
            <w:r>
              <w:rPr>
                <w:rFonts w:ascii="Helv" w:hAnsi="Helv" w:cs="Helv"/>
                <w:color w:val="000000"/>
                <w:sz w:val="18"/>
                <w:szCs w:val="18"/>
              </w:rPr>
              <w:t>D</w:t>
            </w:r>
            <w:r w:rsidRPr="00202038">
              <w:rPr>
                <w:rFonts w:ascii="Helv" w:hAnsi="Helv" w:cs="Helv"/>
                <w:color w:val="000000"/>
                <w:sz w:val="18"/>
                <w:szCs w:val="18"/>
              </w:rPr>
              <w:t>ejavnost</w:t>
            </w:r>
          </w:p>
        </w:tc>
        <w:tc>
          <w:tcPr>
            <w:tcW w:w="1533" w:type="dxa"/>
          </w:tcPr>
          <w:p w14:paraId="388D9446"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Zadnji veljavni finančni načrt za mesec 12/20..</w:t>
            </w:r>
          </w:p>
        </w:tc>
        <w:tc>
          <w:tcPr>
            <w:tcW w:w="1099" w:type="dxa"/>
          </w:tcPr>
          <w:p w14:paraId="2A7E260F"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Povprečni delež OZZ</w:t>
            </w:r>
          </w:p>
        </w:tc>
        <w:tc>
          <w:tcPr>
            <w:tcW w:w="1594" w:type="dxa"/>
          </w:tcPr>
          <w:p w14:paraId="4486E51E"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Delež doseganja plana oz. % realizacije</w:t>
            </w:r>
          </w:p>
        </w:tc>
        <w:tc>
          <w:tcPr>
            <w:tcW w:w="1038" w:type="dxa"/>
          </w:tcPr>
          <w:p w14:paraId="0610774F"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Višina avansa</w:t>
            </w:r>
          </w:p>
        </w:tc>
        <w:tc>
          <w:tcPr>
            <w:tcW w:w="1316" w:type="dxa"/>
          </w:tcPr>
          <w:p w14:paraId="40BDC925"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Vnos »dodatnih« sredstev</w:t>
            </w:r>
          </w:p>
        </w:tc>
        <w:tc>
          <w:tcPr>
            <w:tcW w:w="1316" w:type="dxa"/>
          </w:tcPr>
          <w:p w14:paraId="4BDA7A2A"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Končna višina avansa</w:t>
            </w:r>
          </w:p>
        </w:tc>
      </w:tr>
      <w:tr w:rsidR="002D0EC6" w:rsidRPr="00202038" w14:paraId="5642B882" w14:textId="77777777" w:rsidTr="00D61B15">
        <w:tc>
          <w:tcPr>
            <w:tcW w:w="1552" w:type="dxa"/>
          </w:tcPr>
          <w:p w14:paraId="2AD0D83A"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302 001 E0012</w:t>
            </w:r>
          </w:p>
        </w:tc>
        <w:tc>
          <w:tcPr>
            <w:tcW w:w="1533" w:type="dxa"/>
          </w:tcPr>
          <w:p w14:paraId="2903F9FF"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1000</w:t>
            </w:r>
          </w:p>
        </w:tc>
        <w:tc>
          <w:tcPr>
            <w:tcW w:w="1099" w:type="dxa"/>
          </w:tcPr>
          <w:p w14:paraId="189A65B5"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w:t>
            </w:r>
          </w:p>
        </w:tc>
        <w:tc>
          <w:tcPr>
            <w:tcW w:w="1594" w:type="dxa"/>
          </w:tcPr>
          <w:p w14:paraId="763CA1D3"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w:t>
            </w:r>
          </w:p>
        </w:tc>
        <w:tc>
          <w:tcPr>
            <w:tcW w:w="1038" w:type="dxa"/>
          </w:tcPr>
          <w:p w14:paraId="0F190A06"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1000</w:t>
            </w:r>
          </w:p>
        </w:tc>
        <w:tc>
          <w:tcPr>
            <w:tcW w:w="1316" w:type="dxa"/>
          </w:tcPr>
          <w:p w14:paraId="4EA25116"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0</w:t>
            </w:r>
          </w:p>
        </w:tc>
        <w:tc>
          <w:tcPr>
            <w:tcW w:w="1316" w:type="dxa"/>
          </w:tcPr>
          <w:p w14:paraId="440D88B7"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1000</w:t>
            </w:r>
          </w:p>
        </w:tc>
      </w:tr>
      <w:tr w:rsidR="002D0EC6" w:rsidRPr="00202038" w14:paraId="6AEE8A5E" w14:textId="77777777" w:rsidTr="00D61B15">
        <w:tc>
          <w:tcPr>
            <w:tcW w:w="1552" w:type="dxa"/>
          </w:tcPr>
          <w:p w14:paraId="58AD3FDF"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302 001 Z0031</w:t>
            </w:r>
          </w:p>
        </w:tc>
        <w:tc>
          <w:tcPr>
            <w:tcW w:w="1533" w:type="dxa"/>
          </w:tcPr>
          <w:p w14:paraId="09783664"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800</w:t>
            </w:r>
          </w:p>
        </w:tc>
        <w:tc>
          <w:tcPr>
            <w:tcW w:w="1099" w:type="dxa"/>
          </w:tcPr>
          <w:p w14:paraId="63CB4EC7"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80</w:t>
            </w:r>
          </w:p>
        </w:tc>
        <w:tc>
          <w:tcPr>
            <w:tcW w:w="1594" w:type="dxa"/>
          </w:tcPr>
          <w:p w14:paraId="099A07D5"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w:t>
            </w:r>
          </w:p>
        </w:tc>
        <w:tc>
          <w:tcPr>
            <w:tcW w:w="1038" w:type="dxa"/>
          </w:tcPr>
          <w:p w14:paraId="752B1A31"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640</w:t>
            </w:r>
          </w:p>
        </w:tc>
        <w:tc>
          <w:tcPr>
            <w:tcW w:w="1316" w:type="dxa"/>
          </w:tcPr>
          <w:p w14:paraId="1198C343"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0</w:t>
            </w:r>
          </w:p>
        </w:tc>
        <w:tc>
          <w:tcPr>
            <w:tcW w:w="1316" w:type="dxa"/>
          </w:tcPr>
          <w:p w14:paraId="2C87A5C0"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640</w:t>
            </w:r>
          </w:p>
        </w:tc>
      </w:tr>
      <w:tr w:rsidR="002D0EC6" w:rsidRPr="00202038" w14:paraId="2B165944" w14:textId="77777777" w:rsidTr="00D61B15">
        <w:tc>
          <w:tcPr>
            <w:tcW w:w="1552" w:type="dxa"/>
          </w:tcPr>
          <w:p w14:paraId="5C3F2D43" w14:textId="77777777" w:rsidR="002D0EC6" w:rsidRPr="00202038" w:rsidRDefault="002D0EC6" w:rsidP="00D61B15">
            <w:pPr>
              <w:autoSpaceDE w:val="0"/>
              <w:autoSpaceDN w:val="0"/>
              <w:adjustRightInd w:val="0"/>
              <w:rPr>
                <w:rFonts w:ascii="Helv" w:hAnsi="Helv" w:cs="Helv"/>
                <w:color w:val="000000"/>
                <w:sz w:val="18"/>
                <w:szCs w:val="18"/>
              </w:rPr>
            </w:pPr>
            <w:r w:rsidRPr="00202038">
              <w:rPr>
                <w:rFonts w:ascii="Helv" w:hAnsi="Helv" w:cs="Helv"/>
                <w:color w:val="000000"/>
                <w:sz w:val="18"/>
                <w:szCs w:val="18"/>
              </w:rPr>
              <w:t>302</w:t>
            </w:r>
            <w:r>
              <w:rPr>
                <w:rFonts w:ascii="Helv" w:hAnsi="Helv" w:cs="Helv"/>
                <w:color w:val="000000"/>
                <w:sz w:val="18"/>
                <w:szCs w:val="18"/>
              </w:rPr>
              <w:t xml:space="preserve"> </w:t>
            </w:r>
            <w:r w:rsidRPr="00202038">
              <w:rPr>
                <w:rFonts w:ascii="Helv" w:hAnsi="Helv" w:cs="Helv"/>
                <w:color w:val="000000"/>
                <w:sz w:val="18"/>
                <w:szCs w:val="18"/>
              </w:rPr>
              <w:t>001</w:t>
            </w:r>
            <w:r>
              <w:rPr>
                <w:rFonts w:ascii="Helv" w:hAnsi="Helv" w:cs="Helv"/>
                <w:color w:val="000000"/>
                <w:sz w:val="18"/>
                <w:szCs w:val="18"/>
              </w:rPr>
              <w:t xml:space="preserve"> </w:t>
            </w:r>
            <w:r w:rsidRPr="00202038">
              <w:rPr>
                <w:rFonts w:ascii="Helv" w:hAnsi="Helv" w:cs="Helv"/>
                <w:color w:val="000000"/>
                <w:sz w:val="18"/>
                <w:szCs w:val="18"/>
              </w:rPr>
              <w:t>Z0032 (LZM)</w:t>
            </w:r>
          </w:p>
        </w:tc>
        <w:tc>
          <w:tcPr>
            <w:tcW w:w="1533" w:type="dxa"/>
          </w:tcPr>
          <w:p w14:paraId="7EB83994"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50</w:t>
            </w:r>
          </w:p>
        </w:tc>
        <w:tc>
          <w:tcPr>
            <w:tcW w:w="1099" w:type="dxa"/>
          </w:tcPr>
          <w:p w14:paraId="7C85E596"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80</w:t>
            </w:r>
          </w:p>
        </w:tc>
        <w:tc>
          <w:tcPr>
            <w:tcW w:w="1594" w:type="dxa"/>
          </w:tcPr>
          <w:p w14:paraId="37C5B164"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100</w:t>
            </w:r>
          </w:p>
        </w:tc>
        <w:tc>
          <w:tcPr>
            <w:tcW w:w="1038" w:type="dxa"/>
          </w:tcPr>
          <w:p w14:paraId="36331395"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40</w:t>
            </w:r>
          </w:p>
        </w:tc>
        <w:tc>
          <w:tcPr>
            <w:tcW w:w="1316" w:type="dxa"/>
          </w:tcPr>
          <w:p w14:paraId="60831531"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0</w:t>
            </w:r>
          </w:p>
        </w:tc>
        <w:tc>
          <w:tcPr>
            <w:tcW w:w="1316" w:type="dxa"/>
          </w:tcPr>
          <w:p w14:paraId="1FD0DF61"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40</w:t>
            </w:r>
          </w:p>
        </w:tc>
      </w:tr>
      <w:tr w:rsidR="002D0EC6" w:rsidRPr="00202038" w14:paraId="10285794" w14:textId="77777777" w:rsidTr="00D61B15">
        <w:tc>
          <w:tcPr>
            <w:tcW w:w="1552" w:type="dxa"/>
          </w:tcPr>
          <w:p w14:paraId="136B550E"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Skupaj izvajalec</w:t>
            </w:r>
          </w:p>
        </w:tc>
        <w:tc>
          <w:tcPr>
            <w:tcW w:w="1533" w:type="dxa"/>
          </w:tcPr>
          <w:p w14:paraId="17AABB47" w14:textId="77777777" w:rsidR="002D0EC6" w:rsidRPr="00202038" w:rsidRDefault="002D0EC6" w:rsidP="00D61B15">
            <w:pPr>
              <w:autoSpaceDE w:val="0"/>
              <w:autoSpaceDN w:val="0"/>
              <w:adjustRightInd w:val="0"/>
              <w:jc w:val="both"/>
              <w:rPr>
                <w:rFonts w:ascii="Helv" w:hAnsi="Helv" w:cs="Helv"/>
                <w:color w:val="000000"/>
                <w:sz w:val="18"/>
                <w:szCs w:val="18"/>
              </w:rPr>
            </w:pPr>
          </w:p>
        </w:tc>
        <w:tc>
          <w:tcPr>
            <w:tcW w:w="1099" w:type="dxa"/>
          </w:tcPr>
          <w:p w14:paraId="0BDF4752" w14:textId="77777777" w:rsidR="002D0EC6" w:rsidRPr="00202038" w:rsidRDefault="002D0EC6" w:rsidP="00D61B15">
            <w:pPr>
              <w:autoSpaceDE w:val="0"/>
              <w:autoSpaceDN w:val="0"/>
              <w:adjustRightInd w:val="0"/>
              <w:jc w:val="both"/>
              <w:rPr>
                <w:rFonts w:ascii="Helv" w:hAnsi="Helv" w:cs="Helv"/>
                <w:color w:val="000000"/>
                <w:sz w:val="18"/>
                <w:szCs w:val="18"/>
              </w:rPr>
            </w:pPr>
          </w:p>
        </w:tc>
        <w:tc>
          <w:tcPr>
            <w:tcW w:w="1594" w:type="dxa"/>
          </w:tcPr>
          <w:p w14:paraId="0FBFD4EE" w14:textId="77777777" w:rsidR="002D0EC6" w:rsidRPr="00202038" w:rsidRDefault="002D0EC6" w:rsidP="00D61B15">
            <w:pPr>
              <w:autoSpaceDE w:val="0"/>
              <w:autoSpaceDN w:val="0"/>
              <w:adjustRightInd w:val="0"/>
              <w:jc w:val="both"/>
              <w:rPr>
                <w:rFonts w:ascii="Helv" w:hAnsi="Helv" w:cs="Helv"/>
                <w:color w:val="000000"/>
                <w:sz w:val="18"/>
                <w:szCs w:val="18"/>
              </w:rPr>
            </w:pPr>
          </w:p>
        </w:tc>
        <w:tc>
          <w:tcPr>
            <w:tcW w:w="1038" w:type="dxa"/>
          </w:tcPr>
          <w:p w14:paraId="4D587485" w14:textId="77777777" w:rsidR="002D0EC6" w:rsidRPr="00202038" w:rsidRDefault="002D0EC6" w:rsidP="00D61B15">
            <w:pPr>
              <w:autoSpaceDE w:val="0"/>
              <w:autoSpaceDN w:val="0"/>
              <w:adjustRightInd w:val="0"/>
              <w:jc w:val="both"/>
              <w:rPr>
                <w:rFonts w:ascii="Helv" w:hAnsi="Helv" w:cs="Helv"/>
                <w:color w:val="000000"/>
                <w:sz w:val="18"/>
                <w:szCs w:val="18"/>
              </w:rPr>
            </w:pPr>
          </w:p>
        </w:tc>
        <w:tc>
          <w:tcPr>
            <w:tcW w:w="1316" w:type="dxa"/>
          </w:tcPr>
          <w:p w14:paraId="557AE5C9" w14:textId="77777777" w:rsidR="002D0EC6" w:rsidRPr="00202038" w:rsidRDefault="002D0EC6" w:rsidP="00D61B15">
            <w:pPr>
              <w:autoSpaceDE w:val="0"/>
              <w:autoSpaceDN w:val="0"/>
              <w:adjustRightInd w:val="0"/>
              <w:jc w:val="both"/>
              <w:rPr>
                <w:rFonts w:ascii="Helv" w:hAnsi="Helv" w:cs="Helv"/>
                <w:color w:val="000000"/>
                <w:sz w:val="18"/>
                <w:szCs w:val="18"/>
              </w:rPr>
            </w:pPr>
          </w:p>
        </w:tc>
        <w:tc>
          <w:tcPr>
            <w:tcW w:w="1316" w:type="dxa"/>
          </w:tcPr>
          <w:p w14:paraId="66CE3732" w14:textId="77777777" w:rsidR="002D0EC6" w:rsidRPr="00202038" w:rsidRDefault="002D0EC6" w:rsidP="00D61B15">
            <w:pPr>
              <w:autoSpaceDE w:val="0"/>
              <w:autoSpaceDN w:val="0"/>
              <w:adjustRightInd w:val="0"/>
              <w:jc w:val="both"/>
              <w:rPr>
                <w:rFonts w:ascii="Helv" w:hAnsi="Helv" w:cs="Helv"/>
                <w:color w:val="000000"/>
                <w:sz w:val="18"/>
                <w:szCs w:val="18"/>
              </w:rPr>
            </w:pPr>
            <w:r w:rsidRPr="00202038">
              <w:rPr>
                <w:rFonts w:ascii="Helv" w:hAnsi="Helv" w:cs="Helv"/>
                <w:color w:val="000000"/>
                <w:sz w:val="18"/>
                <w:szCs w:val="18"/>
              </w:rPr>
              <w:t>1.680</w:t>
            </w:r>
          </w:p>
        </w:tc>
      </w:tr>
    </w:tbl>
    <w:p w14:paraId="76B47725"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044BB0FE"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Končna višina avansa za izvajalca je tako seštevek avansov za posamezne pogodbeno dogovorjene dejavnosti.</w:t>
      </w:r>
    </w:p>
    <w:p w14:paraId="66D1BF23" w14:textId="77777777"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p>
    <w:p w14:paraId="179E8AC4" w14:textId="4258BB94" w:rsidR="002D0EC6" w:rsidRPr="00800D5E" w:rsidRDefault="002D0EC6" w:rsidP="002D0EC6">
      <w:pPr>
        <w:autoSpaceDE w:val="0"/>
        <w:autoSpaceDN w:val="0"/>
        <w:adjustRightInd w:val="0"/>
        <w:spacing w:after="0" w:line="240" w:lineRule="auto"/>
        <w:jc w:val="both"/>
        <w:rPr>
          <w:rFonts w:ascii="Helv" w:hAnsi="Helv" w:cs="Helv"/>
          <w:color w:val="000000"/>
          <w:sz w:val="18"/>
          <w:szCs w:val="20"/>
        </w:rPr>
      </w:pPr>
      <w:r w:rsidRPr="00800D5E">
        <w:rPr>
          <w:rFonts w:ascii="Helv" w:hAnsi="Helv" w:cs="Helv"/>
          <w:color w:val="000000"/>
          <w:sz w:val="18"/>
          <w:szCs w:val="20"/>
        </w:rPr>
        <w:t xml:space="preserve">Nakazila izvajalcem se izvajajo 1x mesečno, če višina avansa ne preseže </w:t>
      </w:r>
      <w:r>
        <w:rPr>
          <w:rFonts w:ascii="Helv" w:hAnsi="Helv" w:cs="Helv"/>
          <w:color w:val="000000"/>
          <w:sz w:val="18"/>
          <w:szCs w:val="20"/>
        </w:rPr>
        <w:t>30</w:t>
      </w:r>
      <w:r w:rsidRPr="00800D5E">
        <w:rPr>
          <w:rFonts w:ascii="Helv" w:hAnsi="Helv" w:cs="Helv"/>
          <w:color w:val="000000"/>
          <w:sz w:val="18"/>
          <w:szCs w:val="20"/>
        </w:rPr>
        <w:t>.000</w:t>
      </w:r>
      <w:r>
        <w:rPr>
          <w:rFonts w:ascii="Helv" w:hAnsi="Helv" w:cs="Helv"/>
          <w:color w:val="000000"/>
          <w:sz w:val="18"/>
          <w:szCs w:val="20"/>
        </w:rPr>
        <w:t xml:space="preserve"> </w:t>
      </w:r>
      <w:r w:rsidRPr="00800D5E">
        <w:rPr>
          <w:rFonts w:ascii="Helv" w:hAnsi="Helv" w:cs="Helv"/>
          <w:color w:val="000000"/>
          <w:sz w:val="18"/>
          <w:szCs w:val="20"/>
        </w:rPr>
        <w:t>€, v nasprotnem primeru pa 3x</w:t>
      </w:r>
      <w:r>
        <w:rPr>
          <w:rFonts w:ascii="Helv" w:hAnsi="Helv" w:cs="Helv"/>
          <w:color w:val="000000"/>
          <w:sz w:val="18"/>
          <w:szCs w:val="20"/>
        </w:rPr>
        <w:t xml:space="preserve"> mesečno, skladno z določili </w:t>
      </w:r>
      <w:r w:rsidRPr="007A16D3">
        <w:rPr>
          <w:rFonts w:ascii="Helv" w:hAnsi="Helv" w:cs="Helv"/>
          <w:color w:val="000000"/>
          <w:sz w:val="18"/>
          <w:szCs w:val="20"/>
        </w:rPr>
        <w:t>dogovor</w:t>
      </w:r>
      <w:r>
        <w:rPr>
          <w:rFonts w:ascii="Helv" w:hAnsi="Helv" w:cs="Helv"/>
          <w:color w:val="000000"/>
          <w:sz w:val="18"/>
          <w:szCs w:val="20"/>
        </w:rPr>
        <w:t>a</w:t>
      </w:r>
      <w:r w:rsidRPr="007A16D3">
        <w:rPr>
          <w:rFonts w:ascii="Helv" w:hAnsi="Helv" w:cs="Helv"/>
          <w:color w:val="000000"/>
          <w:sz w:val="18"/>
          <w:szCs w:val="20"/>
        </w:rPr>
        <w:t xml:space="preserve"> o programih zdravstvenih storitev</w:t>
      </w:r>
      <w:r>
        <w:rPr>
          <w:rFonts w:ascii="Helv" w:hAnsi="Helv" w:cs="Helv"/>
          <w:color w:val="000000"/>
          <w:sz w:val="18"/>
          <w:szCs w:val="20"/>
        </w:rPr>
        <w:t xml:space="preserve"> </w:t>
      </w:r>
      <w:r w:rsidRPr="00800D5E">
        <w:rPr>
          <w:rFonts w:ascii="Helv" w:hAnsi="Helv" w:cs="Helv"/>
          <w:color w:val="000000"/>
          <w:sz w:val="18"/>
          <w:szCs w:val="20"/>
        </w:rPr>
        <w:t xml:space="preserve">oz. </w:t>
      </w:r>
      <w:r>
        <w:rPr>
          <w:rFonts w:ascii="Helv" w:hAnsi="Helv" w:cs="Helv"/>
          <w:color w:val="000000"/>
          <w:sz w:val="18"/>
          <w:szCs w:val="20"/>
        </w:rPr>
        <w:t xml:space="preserve">s </w:t>
      </w:r>
      <w:r w:rsidRPr="00800D5E">
        <w:rPr>
          <w:rFonts w:ascii="Helv" w:hAnsi="Helv" w:cs="Helv"/>
          <w:color w:val="000000"/>
          <w:sz w:val="18"/>
          <w:szCs w:val="20"/>
        </w:rPr>
        <w:t>Sklepom generalnega direktorja o rokih plačila avansov za posamezno leto.</w:t>
      </w:r>
    </w:p>
    <w:p w14:paraId="383E4E01" w14:textId="77777777" w:rsidR="002D0EC6" w:rsidRDefault="002D0EC6" w:rsidP="002D0EC6">
      <w:pPr>
        <w:autoSpaceDE w:val="0"/>
        <w:autoSpaceDN w:val="0"/>
        <w:adjustRightInd w:val="0"/>
        <w:spacing w:after="0" w:line="240" w:lineRule="auto"/>
        <w:jc w:val="both"/>
        <w:rPr>
          <w:rFonts w:ascii="Helv" w:hAnsi="Helv" w:cs="Helv"/>
          <w:color w:val="000000"/>
          <w:sz w:val="18"/>
          <w:szCs w:val="20"/>
        </w:rPr>
      </w:pPr>
    </w:p>
    <w:p w14:paraId="4CD9BF9E" w14:textId="58990091" w:rsidR="002D0EC6" w:rsidRDefault="002D0EC6" w:rsidP="00800D5E">
      <w:pPr>
        <w:autoSpaceDE w:val="0"/>
        <w:autoSpaceDN w:val="0"/>
        <w:adjustRightInd w:val="0"/>
        <w:spacing w:after="0" w:line="240" w:lineRule="auto"/>
        <w:jc w:val="both"/>
        <w:rPr>
          <w:rFonts w:ascii="Helv" w:hAnsi="Helv" w:cs="Helv"/>
          <w:color w:val="000000"/>
          <w:sz w:val="18"/>
          <w:szCs w:val="20"/>
        </w:rPr>
      </w:pPr>
    </w:p>
    <w:p w14:paraId="00B7914C" w14:textId="77777777" w:rsidR="002D0EC6" w:rsidRDefault="002D0EC6" w:rsidP="00800D5E">
      <w:pPr>
        <w:autoSpaceDE w:val="0"/>
        <w:autoSpaceDN w:val="0"/>
        <w:adjustRightInd w:val="0"/>
        <w:spacing w:after="0" w:line="240" w:lineRule="auto"/>
        <w:jc w:val="both"/>
        <w:rPr>
          <w:rFonts w:ascii="Helv" w:hAnsi="Helv" w:cs="Helv"/>
          <w:color w:val="000000"/>
          <w:sz w:val="18"/>
          <w:szCs w:val="20"/>
        </w:rPr>
      </w:pPr>
    </w:p>
    <w:sectPr w:rsidR="002D0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1CCEB8"/>
    <w:lvl w:ilvl="0">
      <w:numFmt w:val="bullet"/>
      <w:lvlText w:val="*"/>
      <w:lvlJc w:val="left"/>
    </w:lvl>
  </w:abstractNum>
  <w:abstractNum w:abstractNumId="1" w15:restartNumberingAfterBreak="0">
    <w:nsid w:val="362202A0"/>
    <w:multiLevelType w:val="hybridMultilevel"/>
    <w:tmpl w:val="FCFE2C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60127860">
    <w:abstractNumId w:val="0"/>
    <w:lvlOverride w:ilvl="0">
      <w:lvl w:ilvl="0">
        <w:numFmt w:val="bullet"/>
        <w:lvlText w:val=""/>
        <w:legacy w:legacy="1" w:legacySpace="0" w:legacyIndent="0"/>
        <w:lvlJc w:val="left"/>
        <w:rPr>
          <w:rFonts w:ascii="Symbol" w:hAnsi="Symbol" w:hint="default"/>
          <w:sz w:val="22"/>
        </w:rPr>
      </w:lvl>
    </w:lvlOverride>
  </w:num>
  <w:num w:numId="2" w16cid:durableId="198935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5E"/>
    <w:rsid w:val="00034AB5"/>
    <w:rsid w:val="001E677D"/>
    <w:rsid w:val="0026237F"/>
    <w:rsid w:val="0026488A"/>
    <w:rsid w:val="002D0EC6"/>
    <w:rsid w:val="002E2E17"/>
    <w:rsid w:val="00353DDF"/>
    <w:rsid w:val="004B444C"/>
    <w:rsid w:val="00500702"/>
    <w:rsid w:val="00555838"/>
    <w:rsid w:val="005D4A95"/>
    <w:rsid w:val="007C2DE7"/>
    <w:rsid w:val="00800D5E"/>
    <w:rsid w:val="00831E22"/>
    <w:rsid w:val="00C457D9"/>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ADF1"/>
  <w15:docId w15:val="{51102A16-DA3E-45D8-A0F4-E404A8D0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0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0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Parkelj</dc:creator>
  <cp:lastModifiedBy>Sabina Poznič-Verk</cp:lastModifiedBy>
  <cp:revision>3</cp:revision>
  <cp:lastPrinted>2013-08-07T06:38:00Z</cp:lastPrinted>
  <dcterms:created xsi:type="dcterms:W3CDTF">2023-07-17T12:32:00Z</dcterms:created>
  <dcterms:modified xsi:type="dcterms:W3CDTF">2023-07-17T12:32:00Z</dcterms:modified>
</cp:coreProperties>
</file>