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DD80" w14:textId="0DD58A8B" w:rsidR="00996533" w:rsidRPr="00996533" w:rsidRDefault="00861414" w:rsidP="00996533">
      <w:pPr>
        <w:tabs>
          <w:tab w:val="num" w:pos="0"/>
          <w:tab w:val="left" w:pos="142"/>
        </w:tabs>
        <w:overflowPunct w:val="0"/>
        <w:autoSpaceDE w:val="0"/>
        <w:autoSpaceDN w:val="0"/>
        <w:adjustRightInd w:val="0"/>
        <w:spacing w:after="0" w:line="240" w:lineRule="auto"/>
        <w:textAlignment w:val="baseline"/>
        <w:rPr>
          <w:rFonts w:cstheme="minorHAnsi"/>
          <w:b/>
        </w:rPr>
      </w:pPr>
      <w:bookmarkStart w:id="0" w:name="_GoBack"/>
      <w:bookmarkEnd w:id="0"/>
      <w:r w:rsidRPr="00996533">
        <w:rPr>
          <w:rFonts w:cstheme="minorHAnsi"/>
          <w:b/>
        </w:rPr>
        <w:t>II. OBRAZLOŽITEV ČLENOV</w:t>
      </w:r>
    </w:p>
    <w:p w14:paraId="32366D23" w14:textId="77777777" w:rsidR="00996533" w:rsidRPr="00996533" w:rsidRDefault="00996533" w:rsidP="00996533">
      <w:pPr>
        <w:spacing w:before="120" w:after="0" w:line="240" w:lineRule="auto"/>
        <w:jc w:val="both"/>
        <w:rPr>
          <w:rFonts w:cstheme="minorHAnsi"/>
        </w:rPr>
      </w:pPr>
      <w:r w:rsidRPr="00996533">
        <w:rPr>
          <w:rFonts w:cstheme="minorHAnsi"/>
        </w:rPr>
        <w:t xml:space="preserve">Na podlagi prvega odstavka 64. člena Pravil obveznega zdravstvenega zavarovanja (Uradni list RS, št. 30/03 – prečiščeno besedilo, 35/03 – popr., 78/03, 84/04, 44/05, 86/06, 90/06 – popr., 64/07, 33/08, 7/09, 88/09, 30/11, 49/12, 106/12, 99/13 – ZSVarPre-C, 25/14, 85/14, </w:t>
      </w:r>
      <w:hyperlink r:id="rId8" w:tgtFrame="_blank" w:tooltip="Zakon o čezmejnem izvajanju storitev" w:history="1">
        <w:r w:rsidRPr="00996533">
          <w:rPr>
            <w:rFonts w:cstheme="minorHAnsi"/>
          </w:rPr>
          <w:t>10/17</w:t>
        </w:r>
      </w:hyperlink>
      <w:r w:rsidRPr="00996533">
        <w:rPr>
          <w:rFonts w:cstheme="minorHAnsi"/>
        </w:rPr>
        <w:t xml:space="preserve"> – ZČmIS, 64/18 in 4/20; v nadaljnjem besedilu: pravila) ima zavarovana oseba pravico do pripomočkov, ki so potrebni za zdravljenje, medicinsko rehabilitacijo in zdravstveno nego. Pri tem natančnejšo opredelitev zdravstvenih stanj in drugih pogojev, pri katerih ima zavarovana oseba pravico do posameznega medicinskega pripomočka (tj. tisti, ki se predpisuje na naročilnico; v nadaljnjem besedilu: MP), določi skupščina Zavoda za zdravstveno zavarovanje Slovenije (v nadaljnjem besedilu: zavod) s soglasjem ministra, pristojnega za zdravje, kot to določa drugi odstavek 64. člena pravil v skladu s 26. členom Zakona o zdravstvenem varstvu in zdravstvenem zavarovanju (Uradni list RS, št. 72/06 – uradno prečiščeno besedilo, 114/06 – ZUTPG, 91/07, 76/08, 62/10 – ZUPJS, 87/11, 40/12 – ZUJF, 21/13 – ZUTD-A, </w:t>
      </w:r>
      <w:hyperlink r:id="rId9" w:tgtFrame="_blank" w:history="1">
        <w:r w:rsidRPr="00996533">
          <w:rPr>
            <w:rFonts w:cstheme="minorHAnsi"/>
          </w:rPr>
          <w:t>63/13</w:t>
        </w:r>
      </w:hyperlink>
      <w:r w:rsidRPr="00996533">
        <w:rPr>
          <w:rFonts w:cstheme="minorHAnsi"/>
        </w:rPr>
        <w:t xml:space="preserve"> – ZIUPTDSV, 91/13, 99/13 – ZUPJS-C, 99/13 – ZSVarPre-C, 111/13 – ZMEPIZ-1, </w:t>
      </w:r>
      <w:hyperlink r:id="rId10" w:tooltip="Zakon o spremembah in dopolnitvah Zakona za uravnoteženje javnih financ (ZUJF-C) (Uradni list RS, št. 95-3951/2014)" w:history="1">
        <w:r w:rsidRPr="00996533">
          <w:rPr>
            <w:rFonts w:cstheme="minorHAnsi"/>
          </w:rPr>
          <w:t>95/14</w:t>
        </w:r>
      </w:hyperlink>
      <w:r w:rsidRPr="00996533">
        <w:rPr>
          <w:rFonts w:cstheme="minorHAnsi"/>
        </w:rPr>
        <w:t xml:space="preserve"> – ZUJF-C, </w:t>
      </w:r>
      <w:hyperlink r:id="rId11" w:tgtFrame="_blank" w:tooltip="Zakon o zaposlovanju, samozaposlovanju in delu tujcev" w:history="1">
        <w:r w:rsidRPr="00996533">
          <w:rPr>
            <w:rFonts w:cstheme="minorHAnsi"/>
          </w:rPr>
          <w:t>47/15</w:t>
        </w:r>
      </w:hyperlink>
      <w:r w:rsidRPr="00996533">
        <w:rPr>
          <w:rFonts w:cstheme="minorHAnsi"/>
        </w:rPr>
        <w:t xml:space="preserve"> – ZZSDT, 61/17 – ZUPŠ, </w:t>
      </w:r>
      <w:hyperlink r:id="rId12" w:tgtFrame="_blank" w:tooltip="Zakon o spremembah in dopolnitvah Zakona o zdravstveni dejavnosti" w:history="1">
        <w:r w:rsidRPr="00996533">
          <w:rPr>
            <w:rFonts w:cstheme="minorHAnsi"/>
          </w:rPr>
          <w:t>64/17</w:t>
        </w:r>
      </w:hyperlink>
      <w:r w:rsidRPr="00996533">
        <w:rPr>
          <w:rFonts w:cstheme="minorHAnsi"/>
        </w:rPr>
        <w:t> – ZZDej-K, 36/19 in 189/20 – ZFRO).</w:t>
      </w:r>
    </w:p>
    <w:p w14:paraId="6D05B872" w14:textId="337532DB" w:rsidR="00996533" w:rsidRPr="00996533" w:rsidRDefault="00996533" w:rsidP="00996533">
      <w:pPr>
        <w:spacing w:before="120" w:after="0" w:line="240" w:lineRule="auto"/>
        <w:jc w:val="both"/>
        <w:rPr>
          <w:rFonts w:cstheme="minorHAnsi"/>
        </w:rPr>
      </w:pPr>
      <w:r w:rsidRPr="00996533">
        <w:rPr>
          <w:rFonts w:cstheme="minorHAnsi"/>
        </w:rPr>
        <w:t>Na podlagi drugega odstavka 64. člena pravil se skupine</w:t>
      </w:r>
      <w:r w:rsidR="00BE2BD3">
        <w:rPr>
          <w:rFonts w:cstheme="minorHAnsi"/>
        </w:rPr>
        <w:t> </w:t>
      </w:r>
      <w:r w:rsidRPr="00996533">
        <w:rPr>
          <w:rFonts w:cstheme="minorHAnsi"/>
        </w:rPr>
        <w:t>MP z morebitnimi podskupinami</w:t>
      </w:r>
      <w:r w:rsidR="00BE2BD3">
        <w:rPr>
          <w:rFonts w:cstheme="minorHAnsi"/>
        </w:rPr>
        <w:t> </w:t>
      </w:r>
      <w:r w:rsidRPr="00996533">
        <w:rPr>
          <w:rFonts w:cstheme="minorHAnsi"/>
        </w:rPr>
        <w:t>MP, vrste</w:t>
      </w:r>
      <w:r w:rsidR="00BE2BD3">
        <w:rPr>
          <w:rFonts w:cstheme="minorHAnsi"/>
        </w:rPr>
        <w:t> </w:t>
      </w:r>
      <w:r w:rsidRPr="00996533">
        <w:rPr>
          <w:rFonts w:cstheme="minorHAnsi"/>
        </w:rPr>
        <w:t>MP in natančnejša opredelitev zdravstvenih stanj in drugih pogojev, pri katerih ima zavarovana oseba pravico do posameznega MP, določijo s splošnim aktom skupščine zavoda s soglasjem ministra, pristojnega za zdravje.</w:t>
      </w:r>
    </w:p>
    <w:p w14:paraId="0F81DA5D" w14:textId="16CAA7D3" w:rsidR="00996533" w:rsidRPr="00996533" w:rsidRDefault="00996533" w:rsidP="00996533">
      <w:pPr>
        <w:spacing w:before="120" w:after="0" w:line="240" w:lineRule="auto"/>
        <w:jc w:val="both"/>
        <w:rPr>
          <w:rFonts w:cstheme="minorHAnsi"/>
        </w:rPr>
      </w:pPr>
      <w:r w:rsidRPr="00996533">
        <w:rPr>
          <w:rFonts w:cstheme="minorHAnsi"/>
        </w:rPr>
        <w:t>Na tej podlagi je bil v letu 2020 sprejet Sklep o zdravstvenih stanjih in drugih pogojih za upravičenost do medicinskih pripomočkov iz obveznega zdravstvenega zavarovanja (Uradni list RS, št. 4/20; v nadaljnjem besedilu: veljavni sklep), s katerim so določena zdravstvena in drugi pogoji za</w:t>
      </w:r>
      <w:r w:rsidR="00BE2BD3">
        <w:rPr>
          <w:rFonts w:cstheme="minorHAnsi"/>
        </w:rPr>
        <w:t> </w:t>
      </w:r>
      <w:r w:rsidRPr="00996533">
        <w:rPr>
          <w:rFonts w:cstheme="minorHAnsi"/>
        </w:rPr>
        <w:t>MP (v nadaljnjem besedilu: pogoji za</w:t>
      </w:r>
      <w:r w:rsidR="00BE2BD3">
        <w:rPr>
          <w:rFonts w:cstheme="minorHAnsi"/>
        </w:rPr>
        <w:t> </w:t>
      </w:r>
      <w:r w:rsidRPr="00996533">
        <w:rPr>
          <w:rFonts w:cstheme="minorHAnsi"/>
        </w:rPr>
        <w:t>MP), vendar ne za vse</w:t>
      </w:r>
      <w:r w:rsidR="00BE2BD3">
        <w:rPr>
          <w:rFonts w:cstheme="minorHAnsi"/>
        </w:rPr>
        <w:t> </w:t>
      </w:r>
      <w:r w:rsidRPr="00996533">
        <w:rPr>
          <w:rFonts w:cstheme="minorHAnsi"/>
        </w:rPr>
        <w:t>MP.</w:t>
      </w:r>
    </w:p>
    <w:p w14:paraId="03A2D976" w14:textId="77777777" w:rsidR="00996533" w:rsidRPr="00996533" w:rsidRDefault="00996533" w:rsidP="00996533">
      <w:pPr>
        <w:spacing w:before="120" w:after="0" w:line="240" w:lineRule="auto"/>
        <w:jc w:val="both"/>
        <w:rPr>
          <w:rFonts w:cstheme="minorHAnsi"/>
        </w:rPr>
      </w:pPr>
      <w:r w:rsidRPr="00996533">
        <w:rPr>
          <w:rFonts w:cstheme="minorHAnsi"/>
        </w:rPr>
        <w:t>Predlog novega sklepa je pripravljen s cilji:</w:t>
      </w:r>
    </w:p>
    <w:p w14:paraId="197D35C6" w14:textId="77777777" w:rsidR="00996533" w:rsidRPr="00996533" w:rsidRDefault="00996533" w:rsidP="00996533">
      <w:pPr>
        <w:pStyle w:val="Odstavekseznama"/>
        <w:numPr>
          <w:ilvl w:val="0"/>
          <w:numId w:val="25"/>
        </w:numPr>
        <w:spacing w:after="0" w:line="240" w:lineRule="auto"/>
        <w:ind w:left="426" w:hanging="426"/>
        <w:jc w:val="both"/>
        <w:rPr>
          <w:rFonts w:cstheme="minorHAnsi"/>
        </w:rPr>
      </w:pPr>
      <w:r w:rsidRPr="00996533">
        <w:rPr>
          <w:rFonts w:cstheme="minorHAnsi"/>
        </w:rPr>
        <w:t>da se pogoji za določene MP uskladijo z razvojem medicinske doktrine in s tem zavarovanim osebam zagotovi boljša zdravstvena obravnava (bolj primerna, kakovostna in varna zdravstvena obravnava) in enakopravnejša zdravstvena obravnava. Glede na število MP, ki se zagotavljajo kot pravica iz obveznega zdravstvenega zavarovanja (v nadaljnjem besedilu: OZZ), tega ni mogoče izvesti na enkrat, zato bodo pogoji za MP s tega vidika revidirani postopno;</w:t>
      </w:r>
    </w:p>
    <w:p w14:paraId="73849F5B" w14:textId="77777777" w:rsidR="00996533" w:rsidRPr="00996533" w:rsidRDefault="00996533" w:rsidP="00996533">
      <w:pPr>
        <w:pStyle w:val="Odstavekseznama"/>
        <w:numPr>
          <w:ilvl w:val="0"/>
          <w:numId w:val="25"/>
        </w:numPr>
        <w:spacing w:after="0" w:line="240" w:lineRule="auto"/>
        <w:ind w:left="426" w:hanging="426"/>
        <w:jc w:val="both"/>
        <w:rPr>
          <w:rFonts w:cstheme="minorHAnsi"/>
        </w:rPr>
      </w:pPr>
      <w:r w:rsidRPr="00996533">
        <w:rPr>
          <w:rFonts w:cstheme="minorHAnsi"/>
        </w:rPr>
        <w:t>da se v skladu s pristojnostjo skupščine zavoda in zaradi preglednejše pravne ureditve s tem sklepom odločijo tudi pogoji za MP, ki jih trenutno še vedno določa sklep upravnega odbora zavoda, tj. »Sklep o določitvi nazivov in šifer medicinskih pripomočkov in bolezni in zdravstvenih stanj, pri katerih je zavarovanim osebam zagotovljen posamezni medicinski pripomoček« (v nadaljnjem besedilu: sklep upravnega odbora zavoda);</w:t>
      </w:r>
    </w:p>
    <w:p w14:paraId="41E24944" w14:textId="77777777" w:rsidR="00996533" w:rsidRPr="00996533" w:rsidRDefault="00996533" w:rsidP="00996533">
      <w:pPr>
        <w:pStyle w:val="Odstavekseznama"/>
        <w:numPr>
          <w:ilvl w:val="0"/>
          <w:numId w:val="25"/>
        </w:numPr>
        <w:spacing w:after="0" w:line="240" w:lineRule="auto"/>
        <w:ind w:left="426" w:hanging="426"/>
        <w:jc w:val="both"/>
        <w:rPr>
          <w:rFonts w:cstheme="minorHAnsi"/>
        </w:rPr>
      </w:pPr>
      <w:r w:rsidRPr="00996533">
        <w:rPr>
          <w:rFonts w:cstheme="minorHAnsi"/>
        </w:rPr>
        <w:t>da se uskladita sklep in pravila, ob upoštevanju Predloga sprememb in dopolnitev pravil (v nadaljnjem besedilu: novela pravil), ki so v postopku sprejema sočasno z novim sklepom.</w:t>
      </w:r>
    </w:p>
    <w:p w14:paraId="21217C10" w14:textId="77777777" w:rsidR="00996533" w:rsidRPr="00996533" w:rsidRDefault="00996533" w:rsidP="00996533">
      <w:pPr>
        <w:spacing w:before="120" w:after="0" w:line="240" w:lineRule="auto"/>
        <w:jc w:val="both"/>
        <w:rPr>
          <w:rFonts w:cstheme="minorHAnsi"/>
        </w:rPr>
      </w:pPr>
      <w:r w:rsidRPr="00996533">
        <w:rPr>
          <w:rFonts w:cstheme="minorHAnsi"/>
        </w:rPr>
        <w:t>Z novim sklepom se:</w:t>
      </w:r>
    </w:p>
    <w:p w14:paraId="1CA13ACC" w14:textId="2C1E3160" w:rsidR="00996533" w:rsidRPr="00996533" w:rsidRDefault="00996533" w:rsidP="00996533">
      <w:pPr>
        <w:pStyle w:val="Odstavekseznama"/>
        <w:numPr>
          <w:ilvl w:val="0"/>
          <w:numId w:val="24"/>
        </w:numPr>
        <w:spacing w:after="0" w:line="240" w:lineRule="auto"/>
        <w:ind w:left="426" w:hanging="426"/>
        <w:jc w:val="both"/>
        <w:rPr>
          <w:rFonts w:cstheme="minorHAnsi"/>
        </w:rPr>
      </w:pPr>
      <w:r w:rsidRPr="00996533">
        <w:rPr>
          <w:rFonts w:cstheme="minorHAnsi"/>
        </w:rPr>
        <w:t>spreminja predmet sklepa zaradi predlagane spremembe drugega odstavka 64. člena pravil, ki</w:t>
      </w:r>
      <w:r w:rsidR="00461AE7">
        <w:rPr>
          <w:rFonts w:cstheme="minorHAnsi"/>
        </w:rPr>
        <w:t> </w:t>
      </w:r>
      <w:r w:rsidRPr="00996533">
        <w:rPr>
          <w:rFonts w:cstheme="minorHAnsi"/>
        </w:rPr>
        <w:t>omogoča predpis MP na ravni podskupine MP (trenutno je ta nova ureditev s sklepom predvidena za MP iz skupine MP</w:t>
      </w:r>
      <w:r w:rsidR="00BE2BD3">
        <w:rPr>
          <w:rFonts w:cstheme="minorHAnsi"/>
        </w:rPr>
        <w:t> </w:t>
      </w:r>
      <w:r w:rsidRPr="00996533">
        <w:rPr>
          <w:rFonts w:cstheme="minorHAnsi"/>
        </w:rPr>
        <w:t>pri inkontinenci in težavah z odvajanjem seča s podskupinami v Prilogi 11);</w:t>
      </w:r>
    </w:p>
    <w:p w14:paraId="7059546F" w14:textId="77777777" w:rsidR="00996533" w:rsidRPr="00996533" w:rsidRDefault="00996533" w:rsidP="00996533">
      <w:pPr>
        <w:pStyle w:val="Odstavekseznama"/>
        <w:numPr>
          <w:ilvl w:val="0"/>
          <w:numId w:val="24"/>
        </w:numPr>
        <w:spacing w:after="0" w:line="240" w:lineRule="auto"/>
        <w:ind w:left="426" w:hanging="426"/>
        <w:jc w:val="both"/>
        <w:rPr>
          <w:rFonts w:cstheme="minorHAnsi"/>
        </w:rPr>
      </w:pPr>
      <w:r w:rsidRPr="00996533">
        <w:rPr>
          <w:rFonts w:cstheme="minorHAnsi"/>
        </w:rPr>
        <w:t>določajo pogoji za MP iz veljavnega sklepa;</w:t>
      </w:r>
    </w:p>
    <w:p w14:paraId="2E092C99" w14:textId="77777777" w:rsidR="00996533" w:rsidRPr="00996533" w:rsidRDefault="00996533" w:rsidP="00996533">
      <w:pPr>
        <w:pStyle w:val="Odstavekseznama"/>
        <w:numPr>
          <w:ilvl w:val="0"/>
          <w:numId w:val="24"/>
        </w:numPr>
        <w:spacing w:after="0" w:line="240" w:lineRule="auto"/>
        <w:ind w:left="426" w:hanging="426"/>
        <w:jc w:val="both"/>
        <w:rPr>
          <w:rFonts w:cstheme="minorHAnsi"/>
        </w:rPr>
      </w:pPr>
      <w:r w:rsidRPr="00996533">
        <w:rPr>
          <w:rFonts w:cstheme="minorHAnsi"/>
        </w:rPr>
        <w:t>določajo pogoji za MP, ki so bili do zdaj določeni v sklepu upravnega odbora zavoda;</w:t>
      </w:r>
    </w:p>
    <w:p w14:paraId="3100B03E" w14:textId="77777777" w:rsidR="00996533" w:rsidRPr="00996533" w:rsidRDefault="00996533" w:rsidP="00996533">
      <w:pPr>
        <w:pStyle w:val="Odstavekseznama"/>
        <w:numPr>
          <w:ilvl w:val="0"/>
          <w:numId w:val="24"/>
        </w:numPr>
        <w:spacing w:after="0" w:line="240" w:lineRule="auto"/>
        <w:ind w:left="426" w:hanging="426"/>
        <w:jc w:val="both"/>
        <w:rPr>
          <w:rFonts w:cstheme="minorHAnsi"/>
        </w:rPr>
      </w:pPr>
      <w:r w:rsidRPr="00996533">
        <w:rPr>
          <w:rFonts w:cstheme="minorHAnsi"/>
        </w:rPr>
        <w:t>določajo pogoji za nekatere MP, ki so bili do zdaj določeni s pravili;</w:t>
      </w:r>
    </w:p>
    <w:p w14:paraId="0275F905" w14:textId="77777777" w:rsidR="00996533" w:rsidRPr="00996533" w:rsidRDefault="00996533" w:rsidP="00996533">
      <w:pPr>
        <w:pStyle w:val="Odstavekseznama"/>
        <w:numPr>
          <w:ilvl w:val="0"/>
          <w:numId w:val="24"/>
        </w:numPr>
        <w:spacing w:after="0" w:line="240" w:lineRule="auto"/>
        <w:ind w:left="426" w:hanging="426"/>
        <w:jc w:val="both"/>
        <w:rPr>
          <w:rFonts w:cstheme="minorHAnsi"/>
        </w:rPr>
      </w:pPr>
      <w:r w:rsidRPr="00996533">
        <w:rPr>
          <w:rFonts w:cstheme="minorHAnsi"/>
        </w:rPr>
        <w:t>določajo pogoji za nove MP, ki so z novelo pravil na novo določeni kot pravica iz OZZ;</w:t>
      </w:r>
    </w:p>
    <w:p w14:paraId="02DED4AA" w14:textId="115E53B0" w:rsidR="00996533" w:rsidRPr="00996533" w:rsidRDefault="00996533" w:rsidP="00996533">
      <w:pPr>
        <w:pStyle w:val="Odstavekseznama"/>
        <w:numPr>
          <w:ilvl w:val="0"/>
          <w:numId w:val="24"/>
        </w:numPr>
        <w:spacing w:after="0" w:line="240" w:lineRule="auto"/>
        <w:ind w:left="426" w:hanging="426"/>
        <w:jc w:val="both"/>
        <w:rPr>
          <w:rFonts w:cstheme="minorHAnsi"/>
        </w:rPr>
      </w:pPr>
      <w:r w:rsidRPr="00996533">
        <w:rPr>
          <w:rFonts w:cstheme="minorHAnsi"/>
        </w:rPr>
        <w:t>določajo podskupine</w:t>
      </w:r>
      <w:r w:rsidR="00BE2BD3">
        <w:rPr>
          <w:rFonts w:cstheme="minorHAnsi"/>
        </w:rPr>
        <w:t> </w:t>
      </w:r>
      <w:r w:rsidRPr="00996533">
        <w:rPr>
          <w:rFonts w:cstheme="minorHAnsi"/>
        </w:rPr>
        <w:t>MP v skupinah</w:t>
      </w:r>
      <w:r w:rsidR="00BE2BD3">
        <w:rPr>
          <w:rFonts w:cstheme="minorHAnsi"/>
        </w:rPr>
        <w:t> </w:t>
      </w:r>
      <w:r w:rsidRPr="00996533">
        <w:rPr>
          <w:rFonts w:cstheme="minorHAnsi"/>
        </w:rPr>
        <w:t>MP z večjim številom</w:t>
      </w:r>
      <w:r w:rsidR="00BE2BD3">
        <w:rPr>
          <w:rFonts w:cstheme="minorHAnsi"/>
        </w:rPr>
        <w:t> </w:t>
      </w:r>
      <w:r w:rsidRPr="00996533">
        <w:rPr>
          <w:rFonts w:cstheme="minorHAnsi"/>
        </w:rPr>
        <w:t>MP.</w:t>
      </w:r>
    </w:p>
    <w:p w14:paraId="399138CE" w14:textId="77777777" w:rsidR="00996533" w:rsidRPr="00996533" w:rsidRDefault="00996533" w:rsidP="00996533">
      <w:pPr>
        <w:spacing w:before="120" w:after="0" w:line="240" w:lineRule="auto"/>
        <w:jc w:val="both"/>
        <w:rPr>
          <w:rFonts w:cstheme="minorHAnsi"/>
        </w:rPr>
      </w:pPr>
      <w:r w:rsidRPr="00996533">
        <w:rPr>
          <w:rFonts w:cstheme="minorHAnsi"/>
        </w:rPr>
        <w:t>V nadaljevanju navedena obrazložitev sklepa ne vsebuje obrazložitev sprememb sklepa, ki so vezane na novelo pravil in so obrazložene k posameznim členom novele pravil. Ocena finančnih posledic sklepa je navedena na koncu obrazložitve sklepa.</w:t>
      </w:r>
    </w:p>
    <w:p w14:paraId="133D0668" w14:textId="77777777" w:rsidR="00996533" w:rsidRPr="00996533" w:rsidRDefault="00996533" w:rsidP="00996533">
      <w:pPr>
        <w:pStyle w:val="Odstavekseznama"/>
        <w:tabs>
          <w:tab w:val="left" w:pos="1134"/>
        </w:tabs>
        <w:spacing w:before="360" w:after="0" w:line="240" w:lineRule="auto"/>
        <w:ind w:left="0"/>
        <w:contextualSpacing w:val="0"/>
        <w:jc w:val="both"/>
        <w:rPr>
          <w:rFonts w:cstheme="minorHAnsi"/>
          <w:b/>
          <w:bCs/>
        </w:rPr>
      </w:pPr>
      <w:r w:rsidRPr="00996533">
        <w:rPr>
          <w:rFonts w:cstheme="minorHAnsi"/>
          <w:b/>
          <w:bCs/>
        </w:rPr>
        <w:lastRenderedPageBreak/>
        <w:t>K 1. </w:t>
      </w:r>
      <w:r w:rsidRPr="00996533">
        <w:rPr>
          <w:rFonts w:eastAsia="Times New Roman" w:cstheme="minorHAnsi"/>
          <w:b/>
          <w:bCs/>
          <w:lang w:eastAsia="sl-SI"/>
        </w:rPr>
        <w:t>členu (vsebina)</w:t>
      </w:r>
    </w:p>
    <w:p w14:paraId="272B923C" w14:textId="77777777" w:rsidR="00996533" w:rsidRPr="00996533" w:rsidRDefault="00996533" w:rsidP="00996533">
      <w:pPr>
        <w:spacing w:before="120" w:after="0" w:line="240" w:lineRule="auto"/>
        <w:jc w:val="both"/>
        <w:rPr>
          <w:rFonts w:cstheme="minorHAnsi"/>
        </w:rPr>
      </w:pPr>
      <w:r w:rsidRPr="00996533">
        <w:rPr>
          <w:rFonts w:cstheme="minorHAnsi"/>
        </w:rPr>
        <w:t>S 1. členom sklepa je določen predmet sklepa. Glede na veljavni sklep se predmet sklepa dopolnjuje tako, da se s sklepom določeni pogoji za MP lahko določijo tudi na ravni podskupine MP in ne le za posamezen MP. Dopolnitev predmeta sklepa pomeni uskladitev s spremembo drugega odstavka 64. člena pravil, kot je predlagana z novelo pravil. V preostalem delu je predmet sklepa enak kot po veljavnem sklepu.</w:t>
      </w:r>
    </w:p>
    <w:p w14:paraId="4D95C217" w14:textId="77777777" w:rsidR="00996533" w:rsidRPr="00996533" w:rsidRDefault="00996533" w:rsidP="00996533">
      <w:pPr>
        <w:pStyle w:val="Odstavekseznama"/>
        <w:tabs>
          <w:tab w:val="left" w:pos="1134"/>
        </w:tabs>
        <w:spacing w:before="360" w:after="0" w:line="240" w:lineRule="auto"/>
        <w:ind w:left="0"/>
        <w:contextualSpacing w:val="0"/>
        <w:jc w:val="both"/>
        <w:rPr>
          <w:rFonts w:cstheme="minorHAnsi"/>
          <w:b/>
          <w:bCs/>
        </w:rPr>
      </w:pPr>
      <w:r w:rsidRPr="00996533">
        <w:rPr>
          <w:rFonts w:cstheme="minorHAnsi"/>
          <w:b/>
          <w:bCs/>
        </w:rPr>
        <w:t>K 2. </w:t>
      </w:r>
      <w:r w:rsidRPr="00996533">
        <w:rPr>
          <w:rFonts w:eastAsia="Times New Roman" w:cstheme="minorHAnsi"/>
          <w:b/>
          <w:bCs/>
          <w:lang w:eastAsia="sl-SI"/>
        </w:rPr>
        <w:t>členu (Priloge)</w:t>
      </w:r>
    </w:p>
    <w:p w14:paraId="0543D256" w14:textId="77777777" w:rsidR="00996533" w:rsidRPr="00996533" w:rsidRDefault="00996533" w:rsidP="00996533">
      <w:pPr>
        <w:spacing w:before="120" w:after="0" w:line="240" w:lineRule="auto"/>
        <w:jc w:val="both"/>
        <w:rPr>
          <w:rFonts w:cstheme="minorHAnsi"/>
        </w:rPr>
      </w:pPr>
      <w:r w:rsidRPr="00996533">
        <w:rPr>
          <w:rFonts w:cstheme="minorHAnsi"/>
        </w:rPr>
        <w:t>Z 2. členom sklepa je določeno vseh 21 skupin MP z vrstami MP. Pri skupinah z večjim številom MP so določene tudi podskupine MP. Pogoji za MP za posamezno skupino MP so določeni v posamezni Prilogi, ki so sestavni del sklepa.</w:t>
      </w:r>
    </w:p>
    <w:p w14:paraId="15E8E8E3"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 skupina proteze udov</w:t>
      </w:r>
    </w:p>
    <w:p w14:paraId="233B166C"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2CD7EB6D"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2: skupina estetske proteze</w:t>
      </w:r>
    </w:p>
    <w:p w14:paraId="726F854B"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3B598023"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3: skupina ortoze</w:t>
      </w:r>
    </w:p>
    <w:p w14:paraId="73959C26"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4D944B0D"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4: skupina ortopedska obutev</w:t>
      </w:r>
    </w:p>
    <w:p w14:paraId="4D100544" w14:textId="77777777" w:rsidR="00996533" w:rsidRPr="00996533" w:rsidRDefault="00996533" w:rsidP="00996533">
      <w:pPr>
        <w:spacing w:before="120" w:after="0" w:line="240" w:lineRule="auto"/>
        <w:jc w:val="both"/>
        <w:rPr>
          <w:rFonts w:eastAsia="Times New Roman" w:cstheme="minorHAnsi"/>
        </w:rPr>
      </w:pPr>
      <w:r w:rsidRPr="00996533">
        <w:rPr>
          <w:rFonts w:cstheme="minorHAnsi"/>
        </w:rPr>
        <w:t>V skupini so zaradi uskladitve z novelo pravil dodani novi MP:</w:t>
      </w:r>
      <w:r w:rsidRPr="00996533">
        <w:rPr>
          <w:rFonts w:eastAsia="Times New Roman" w:cstheme="minorHAnsi"/>
        </w:rPr>
        <w:t xml:space="preserve"> ortopedski čevlji po Ponsetijevi metodi, spona po Ponsetijevi metodi in ortopedski čevlji in spona po Ponsetijevi metodi, skupaj s pogoji zanje.</w:t>
      </w:r>
    </w:p>
    <w:p w14:paraId="7AA6EFD8" w14:textId="77777777" w:rsidR="00996533" w:rsidRPr="00996533" w:rsidRDefault="00996533" w:rsidP="00996533">
      <w:pPr>
        <w:spacing w:before="120" w:after="0" w:line="240" w:lineRule="auto"/>
        <w:jc w:val="both"/>
        <w:rPr>
          <w:rFonts w:cstheme="minorHAnsi"/>
        </w:rPr>
      </w:pPr>
      <w:r w:rsidRPr="00996533">
        <w:rPr>
          <w:rFonts w:cstheme="minorHAnsi"/>
        </w:rPr>
        <w:t>Pri vseh individualno izdelanih čevljih ni več dodatne navedbe, ki se nanaša na doplačilo zavarovane osebe, saj to ni naziv MP niti taka navedba ne spada v sklep.</w:t>
      </w:r>
    </w:p>
    <w:p w14:paraId="714C321E"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5: skupina MP za podporo gibalnih zmožnosti</w:t>
      </w:r>
    </w:p>
    <w:p w14:paraId="132BA475" w14:textId="77777777" w:rsidR="00996533" w:rsidRPr="00996533" w:rsidRDefault="00996533" w:rsidP="00996533">
      <w:pPr>
        <w:spacing w:before="120" w:after="0" w:line="240" w:lineRule="auto"/>
        <w:jc w:val="both"/>
        <w:rPr>
          <w:rFonts w:cstheme="minorHAnsi"/>
        </w:rPr>
      </w:pPr>
      <w:r w:rsidRPr="00996533">
        <w:rPr>
          <w:rFonts w:cstheme="minorHAnsi"/>
        </w:rPr>
        <w:t>Z novelo pravil je določena pravica do novega MP – pogon za voziček (nov, sedmi odstavek 72. člena), do katerega ima pravico zavarovana oseba, ki ima voziček na ročni pogon. Zato so s sklepom v tej skupini na novo določena zdravstvena stanja in drugi pogoji za pogon za voziček. S sklepom so določene tri vrste tega pogona: z vlečenjem, v kolesih in s krmilno ročico. Navedene vrste pogonov so torej tiste, ki jih bo lahko zavarovana oseba prejela v breme obveznega zdravstvenega zavarovanja na podlagi izdane naročilnice s strani zdravnika URI Soče. Zdravstvena stanja in drugi pogoji so predhodno usklajeni z URI Sočo. Do navedenih vrst pogonov bodo upravičene zavarovane osebe z ohromelostjo spodnjih udov, ki onemogoča hojo, sedenje v vozičku je nekoliko aktivno, zgornji udi pa so oslabeli do te mere, da je uporaba vozička na ročni pogon zadovoljiva za uporabo na kratkih razdaljah in v notranjih prostorih, za premagovanje daljših razdalj ali morebitnih klančin pa v vsakodnevnem življenju potrebujejo dodatni zunanji pogon. Pri tem dodatno pojasnjujemo še, da uporaba teh pogonov deloma še vedno omogoča uporabo preostanka mišične moči zavarovane osebe. V primeru, da bi tem zavarovanim osebam zagotovili pravico do vozička na elektromotorni pogon (imajo zdravstvena stanja za upravičenost do vozička na elektromotorni pogon za težko gibalno oviranost), pa uporaba preostanka njihove mišične moči ne bi bila možna.</w:t>
      </w:r>
    </w:p>
    <w:p w14:paraId="0C50E437" w14:textId="77777777" w:rsidR="00996533" w:rsidRPr="00996533" w:rsidRDefault="00996533" w:rsidP="00996533">
      <w:pPr>
        <w:spacing w:before="120" w:after="0" w:line="240" w:lineRule="auto"/>
        <w:jc w:val="both"/>
        <w:rPr>
          <w:rFonts w:cstheme="minorHAnsi"/>
        </w:rPr>
      </w:pPr>
      <w:r w:rsidRPr="00996533">
        <w:rPr>
          <w:rFonts w:cstheme="minorHAnsi"/>
        </w:rPr>
        <w:t>Spremembe v pogojih za dodatke za vozičke in stolčke so redakcijske narave.</w:t>
      </w:r>
    </w:p>
    <w:p w14:paraId="164FBEF1"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6: skupina MP za dihanje</w:t>
      </w:r>
    </w:p>
    <w:p w14:paraId="0C5CD66E" w14:textId="77777777" w:rsidR="00996533" w:rsidRPr="00996533" w:rsidRDefault="00996533" w:rsidP="00996533">
      <w:pPr>
        <w:spacing w:before="120" w:after="0" w:line="240" w:lineRule="auto"/>
        <w:jc w:val="both"/>
        <w:rPr>
          <w:rFonts w:cstheme="minorHAnsi"/>
        </w:rPr>
      </w:pPr>
      <w:r w:rsidRPr="00996533">
        <w:rPr>
          <w:rFonts w:cstheme="minorHAnsi"/>
        </w:rPr>
        <w:lastRenderedPageBreak/>
        <w:t>Na predlog UKC Ljubljana, Pediatrične klinike, Službe za pljučne bolezni, je spremenjeno zdravstveno stanje pri ventilatorju. Pri osebah, mlajših od 18 let, je po novem namesto kronično obstruktivne pljučne bolezni (KOPB) ali živčno-mišičnih bolezni z oslabelostjo dihalnih mišic določena kronična dihalna odpoved, saj je KOPB bolezen odraslih. Določba je spremenjena in usklajena s strokovnimi smernicami za uvedbo umetne ventilacije otrok na domu. Zaradi spremembe formulacije se ne pričakuje sprememba v številu otrok, ki se bodo zdravili z umetno ventilacijo na domu, oziroma povečanja stroškov.</w:t>
      </w:r>
    </w:p>
    <w:p w14:paraId="609AFA3F" w14:textId="77777777" w:rsidR="00996533" w:rsidRPr="00996533" w:rsidRDefault="00996533" w:rsidP="00996533">
      <w:pPr>
        <w:autoSpaceDE w:val="0"/>
        <w:autoSpaceDN w:val="0"/>
        <w:adjustRightInd w:val="0"/>
        <w:spacing w:before="120" w:after="0" w:line="240" w:lineRule="auto"/>
        <w:jc w:val="both"/>
        <w:rPr>
          <w:rFonts w:cstheme="minorHAnsi"/>
        </w:rPr>
      </w:pPr>
      <w:r w:rsidRPr="00996533">
        <w:rPr>
          <w:rFonts w:cstheme="minorHAnsi"/>
        </w:rPr>
        <w:t>Pri novi pravici do izkašljevalnika so bila z UKC Ljubljana, Nevrološko kliniko, Kliničnim inštitutom za klinično nevrofiziologijo, usklajena zdravstvena stanja in drugi pogoji (posebni pogoji za mladoletne osebe), ob katerih bodo zavarovane osebe upravičene do tega – najpogosteje bo šlo pri zavarovani osebi za poškodbe ali okvare živčevja, živčno-mišične bolezni ali pljučne bolezni in neučinkovito izkašljevanje, ob drugih pogojih iz Priloge 6. Z izkašljevalnikom se bo na domu zagotavljalo čiščenje spodnjih dihalnih poti.</w:t>
      </w:r>
    </w:p>
    <w:p w14:paraId="347F3D3F"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sz w:val="22"/>
          <w:szCs w:val="22"/>
        </w:rPr>
      </w:pPr>
      <w:r w:rsidRPr="00996533">
        <w:rPr>
          <w:rFonts w:asciiTheme="minorHAnsi" w:hAnsiTheme="minorHAnsi" w:cstheme="minorHAnsi"/>
          <w:b/>
          <w:bCs/>
          <w:sz w:val="22"/>
          <w:szCs w:val="22"/>
        </w:rPr>
        <w:t>Priloga 7: skupina MP za osebno higieno</w:t>
      </w:r>
    </w:p>
    <w:p w14:paraId="105D651E"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69FCF175"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8: skupina blazine proti preležaninam</w:t>
      </w:r>
    </w:p>
    <w:p w14:paraId="27C8133C"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4196B6B2"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9: skupina kilni pasovi</w:t>
      </w:r>
    </w:p>
    <w:p w14:paraId="4DEB9298"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6163B971"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10: skupina MP pri kolostomi, ileostomi in urostomi</w:t>
      </w:r>
    </w:p>
    <w:p w14:paraId="49CE174A" w14:textId="7A2E9264" w:rsidR="00996533" w:rsidRPr="00996533" w:rsidRDefault="00996533" w:rsidP="00996533">
      <w:pPr>
        <w:spacing w:before="120" w:after="0" w:line="240" w:lineRule="auto"/>
        <w:jc w:val="both"/>
        <w:rPr>
          <w:rFonts w:cstheme="minorHAnsi"/>
        </w:rPr>
      </w:pPr>
      <w:r w:rsidRPr="00996533">
        <w:rPr>
          <w:rFonts w:cstheme="minorHAnsi"/>
        </w:rPr>
        <w:t>V skupini so navedeni MP in pogoji, ki se bodo začeli uporabljati po uvrstitvi posameznih vrst na seznam</w:t>
      </w:r>
      <w:r w:rsidR="00BE2BD3">
        <w:rPr>
          <w:rFonts w:cstheme="minorHAnsi"/>
        </w:rPr>
        <w:t> </w:t>
      </w:r>
      <w:r w:rsidRPr="00996533">
        <w:rPr>
          <w:rFonts w:cstheme="minorHAnsi"/>
        </w:rPr>
        <w:t>MP. Vrste MP so sicer določene enako, kot so v veljavnem sklepu, zato po vsebini v tem sklepu ne gre za novost pri določitvi pogojev za MP.</w:t>
      </w:r>
    </w:p>
    <w:p w14:paraId="026059AA"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11: skupina MP pri inkontinenci in težavah z odvajanjem seča</w:t>
      </w:r>
    </w:p>
    <w:p w14:paraId="455C71D3" w14:textId="77777777" w:rsidR="00996533" w:rsidRPr="00996533" w:rsidRDefault="00996533" w:rsidP="00996533">
      <w:pPr>
        <w:spacing w:before="120" w:after="0" w:line="240" w:lineRule="auto"/>
        <w:jc w:val="both"/>
        <w:rPr>
          <w:rFonts w:cstheme="minorHAnsi"/>
        </w:rPr>
      </w:pPr>
      <w:r w:rsidRPr="00996533">
        <w:rPr>
          <w:rFonts w:cstheme="minorHAnsi"/>
        </w:rPr>
        <w:t>Pogoji za MP za lahko, srednjo, težko, zelo težko inkontinenco in plenice za otroke so določeni na ravni podskupine MP in ne več na ravni vrste MP. Predlog sta podala RSK za družinsko medicino in Odbor za osnovno zdravstvo pri Zdravniški zbornici Slovenije in predstavlja pomembno poenostavitev postopkov predpisovanja MP za oskrbo inkontinentnih oseb s predlogami, hlačnimi predlogami (plenicami), posteljnimi predlogami, mobilnimi neprepustnimi hlačkami in fiksirnimi hlačkami. Pooblaščeni osebni zdravniki bodo po novem te MP predpisovali na podlagi kriterijev predpisovanja, ki so določeni za posamezno podskupino MP (različne stopnje inkontinence in posebej za otroške plenice) ter na ravni podskupine MP določili upravičeno število kosov na dan. Zavarovane osebe bodo na podlagi takega predpisa MP na ravni podskupine pri dobavitelju lahko uveljavile pravico do posameznih vrst ali kombinacij vrst MP ter si v okviru teh in količin, ki jih je opredelil zdravnik, izbrale artikle, ki jih imajo dobavitelji v pogodbi z ZZZS.</w:t>
      </w:r>
    </w:p>
    <w:p w14:paraId="068785CC"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12: skupina MP pri sladkorni bolezni</w:t>
      </w:r>
    </w:p>
    <w:p w14:paraId="18249AEF" w14:textId="77777777" w:rsidR="00996533" w:rsidRPr="00996533" w:rsidRDefault="00996533" w:rsidP="00996533">
      <w:pPr>
        <w:spacing w:before="120" w:after="0" w:line="240" w:lineRule="auto"/>
        <w:jc w:val="both"/>
        <w:rPr>
          <w:rFonts w:cstheme="minorHAnsi"/>
        </w:rPr>
      </w:pPr>
      <w:r w:rsidRPr="00996533">
        <w:rPr>
          <w:rFonts w:cstheme="minorHAnsi"/>
        </w:rPr>
        <w:t>Na predlog zastopnika proizvajalca Zaloker &amp; Zaloker d. o. o., UKC Ljubljana, Interne klinike in Pediatrične klinike ter predloga Zveze društev diabetikov Slovenije:</w:t>
      </w:r>
    </w:p>
    <w:p w14:paraId="4F5882AA" w14:textId="77777777" w:rsidR="00996533" w:rsidRPr="00996533" w:rsidRDefault="00996533" w:rsidP="00996533">
      <w:pPr>
        <w:pStyle w:val="Odstavekseznama"/>
        <w:numPr>
          <w:ilvl w:val="0"/>
          <w:numId w:val="22"/>
        </w:numPr>
        <w:spacing w:after="0" w:line="240" w:lineRule="auto"/>
        <w:ind w:left="426" w:hanging="426"/>
        <w:jc w:val="both"/>
        <w:rPr>
          <w:rFonts w:cstheme="minorHAnsi"/>
        </w:rPr>
      </w:pPr>
      <w:r w:rsidRPr="00996533">
        <w:rPr>
          <w:rFonts w:cstheme="minorHAnsi"/>
        </w:rPr>
        <w:t>je določena nova vrsta MP – inzulinska črpalka z zaprto zanko, ki je sistem za dovajanje in programirano samodejno prilagajanje odmerka inzulina, pri zavarovanih osebah s sladkorno boleznijo tipa 1, ki z drugimi sistemi za dovajanja inzulina in določanje ravni glukoze v krvi ali medceličnini ne dosegajo ciljnih vrednosti glikiranega hemoglobina ali ne uspejo preprečiti pogostih, klinično pomembnih in hudih hipoglikemij;</w:t>
      </w:r>
    </w:p>
    <w:p w14:paraId="1199844F" w14:textId="77777777" w:rsidR="00996533" w:rsidRPr="00996533" w:rsidRDefault="00996533" w:rsidP="00996533">
      <w:pPr>
        <w:pStyle w:val="Odstavekseznama"/>
        <w:numPr>
          <w:ilvl w:val="0"/>
          <w:numId w:val="22"/>
        </w:numPr>
        <w:spacing w:after="0" w:line="240" w:lineRule="auto"/>
        <w:ind w:left="426" w:hanging="426"/>
        <w:jc w:val="both"/>
        <w:rPr>
          <w:rFonts w:cstheme="minorHAnsi"/>
        </w:rPr>
      </w:pPr>
      <w:r w:rsidRPr="00996533">
        <w:rPr>
          <w:rFonts w:cstheme="minorHAnsi"/>
        </w:rPr>
        <w:lastRenderedPageBreak/>
        <w:t>so spremenjeni pogoji za senzor in oddajnik za kontinuirano merjenje glukoze. Po novem bodo do teh MP imele pravico tudi zavarovane osebe, ki bodo imele iz OZZ pravico do inzulinske črpalke z zaprto zanko.</w:t>
      </w:r>
    </w:p>
    <w:p w14:paraId="4975884A"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13: skupina kanile</w:t>
      </w:r>
    </w:p>
    <w:p w14:paraId="3CFA6490"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6CF0AE71"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14: skupina drugi MP</w:t>
      </w:r>
    </w:p>
    <w:p w14:paraId="686125DA" w14:textId="77777777" w:rsidR="00996533" w:rsidRPr="00996533" w:rsidRDefault="00996533" w:rsidP="00996533">
      <w:pPr>
        <w:spacing w:before="120" w:after="0" w:line="240" w:lineRule="auto"/>
        <w:jc w:val="both"/>
        <w:rPr>
          <w:rFonts w:cstheme="minorHAnsi"/>
          <w:bCs/>
        </w:rPr>
      </w:pPr>
      <w:r w:rsidRPr="00996533">
        <w:rPr>
          <w:rFonts w:cstheme="minorHAnsi"/>
        </w:rPr>
        <w:t>Skupina je preimenovana iz »ostali MP« v »drugi MP«</w:t>
      </w:r>
      <w:r w:rsidRPr="00996533">
        <w:rPr>
          <w:rFonts w:cstheme="minorHAnsi"/>
          <w:bCs/>
        </w:rPr>
        <w:t xml:space="preserve"> zaradi uskladitve s pravili.</w:t>
      </w:r>
    </w:p>
    <w:p w14:paraId="71F5FF53" w14:textId="77777777" w:rsidR="00996533" w:rsidRPr="00996533" w:rsidRDefault="00996533" w:rsidP="00996533">
      <w:pPr>
        <w:spacing w:before="120" w:after="0" w:line="240" w:lineRule="auto"/>
        <w:jc w:val="both"/>
        <w:rPr>
          <w:rFonts w:cstheme="minorHAnsi"/>
          <w:bCs/>
        </w:rPr>
      </w:pPr>
      <w:r w:rsidRPr="00996533">
        <w:rPr>
          <w:rFonts w:cstheme="minorHAnsi"/>
          <w:bCs/>
        </w:rPr>
        <w:t>Kompresijski MP so iz te skupine preneseni v novo skupino MP</w:t>
      </w:r>
      <w:r w:rsidRPr="00996533">
        <w:rPr>
          <w:rFonts w:cstheme="minorHAnsi"/>
          <w:b/>
          <w:bCs/>
        </w:rPr>
        <w:t xml:space="preserve"> </w:t>
      </w:r>
      <w:r w:rsidRPr="00996533">
        <w:rPr>
          <w:rFonts w:cstheme="minorHAnsi"/>
        </w:rPr>
        <w:t>za kompresijsko zdravljenje iz Priloge </w:t>
      </w:r>
      <w:r w:rsidRPr="00996533">
        <w:rPr>
          <w:rFonts w:cstheme="minorHAnsi"/>
          <w:bCs/>
        </w:rPr>
        <w:t>21.</w:t>
      </w:r>
    </w:p>
    <w:p w14:paraId="0550F8E9" w14:textId="77777777" w:rsidR="00996533" w:rsidRPr="00996533" w:rsidRDefault="00996533" w:rsidP="00996533">
      <w:pPr>
        <w:spacing w:before="120" w:after="0" w:line="240" w:lineRule="auto"/>
        <w:jc w:val="both"/>
        <w:rPr>
          <w:rFonts w:cstheme="minorHAnsi"/>
        </w:rPr>
      </w:pPr>
      <w:r w:rsidRPr="00996533">
        <w:rPr>
          <w:rFonts w:cstheme="minorHAnsi"/>
          <w:bCs/>
        </w:rPr>
        <w:t>Sprememba pogojev za MP je določena pri zaščitni čeladi - ni več določenega pogoja, da mora iti za otroka do 15 let starosti.</w:t>
      </w:r>
    </w:p>
    <w:p w14:paraId="0E69A989"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15: skupina MP za slepe, slabovidne in gluhoslepe</w:t>
      </w:r>
    </w:p>
    <w:p w14:paraId="0699AAAA" w14:textId="77777777" w:rsidR="00996533" w:rsidRPr="00996533" w:rsidRDefault="00996533" w:rsidP="00996533">
      <w:pPr>
        <w:spacing w:before="120" w:after="0" w:line="240" w:lineRule="auto"/>
        <w:jc w:val="both"/>
        <w:rPr>
          <w:rFonts w:cstheme="minorHAnsi"/>
        </w:rPr>
      </w:pPr>
      <w:r w:rsidRPr="00996533">
        <w:rPr>
          <w:rFonts w:cstheme="minorHAnsi"/>
        </w:rPr>
        <w:t>V skupini ni sprememb glede na veljavno ureditev.</w:t>
      </w:r>
    </w:p>
    <w:p w14:paraId="5034F095"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16: skupina MP za sluh in govor</w:t>
      </w:r>
    </w:p>
    <w:p w14:paraId="19FE6025" w14:textId="7787A892" w:rsidR="00996533" w:rsidRPr="00996533" w:rsidRDefault="00996533" w:rsidP="00996533">
      <w:pPr>
        <w:spacing w:before="120" w:after="0" w:line="240" w:lineRule="auto"/>
        <w:jc w:val="both"/>
        <w:rPr>
          <w:rFonts w:cstheme="minorHAnsi"/>
        </w:rPr>
      </w:pPr>
      <w:r w:rsidRPr="00996533">
        <w:rPr>
          <w:rFonts w:cstheme="minorHAnsi"/>
        </w:rPr>
        <w:t>Do zdaj poimenovani »olivi« (</w:t>
      </w:r>
      <w:r w:rsidRPr="00996533">
        <w:rPr>
          <w:rFonts w:cstheme="minorHAnsi"/>
          <w:bCs/>
        </w:rPr>
        <w:t>oliva individualna (fotoplast trdi) in oliva individualna "L" (fotoplast mehki) sta nadomeščeni z »ušesnim vložkom« zaradi uskladitve s pravili.</w:t>
      </w:r>
    </w:p>
    <w:p w14:paraId="4EBB2104"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17: skupina obvezilni material</w:t>
      </w:r>
    </w:p>
    <w:p w14:paraId="7BEE6B6B" w14:textId="77777777" w:rsidR="00996533" w:rsidRPr="00996533" w:rsidRDefault="00996533" w:rsidP="00996533">
      <w:pPr>
        <w:spacing w:before="120" w:after="0" w:line="240" w:lineRule="auto"/>
        <w:jc w:val="both"/>
        <w:rPr>
          <w:rFonts w:cstheme="minorHAnsi"/>
        </w:rPr>
      </w:pPr>
      <w:r w:rsidRPr="00996533">
        <w:rPr>
          <w:rFonts w:cstheme="minorHAnsi"/>
        </w:rPr>
        <w:t>Iz skupine so v novo skupino MP za hranjenje ter dajanje olja in zdravil iz Priloge 20 preneseni MP iz skupine obvezilnih materialov, podskupine pripomočki za injiciranje zdravil.</w:t>
      </w:r>
    </w:p>
    <w:p w14:paraId="049BE754"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18: skupina raztopine</w:t>
      </w:r>
    </w:p>
    <w:p w14:paraId="6C0633F1" w14:textId="77777777" w:rsidR="00996533" w:rsidRPr="00996533" w:rsidRDefault="00996533" w:rsidP="00996533">
      <w:pPr>
        <w:spacing w:before="120" w:after="0" w:line="240" w:lineRule="auto"/>
        <w:jc w:val="both"/>
        <w:rPr>
          <w:rFonts w:cstheme="minorHAnsi"/>
        </w:rPr>
      </w:pPr>
      <w:r w:rsidRPr="00996533">
        <w:rPr>
          <w:rFonts w:cstheme="minorHAnsi"/>
        </w:rPr>
        <w:t xml:space="preserve">V skupini je redakcijska sprememba pri MP gel za zaščito ustne sluznice za sedem dni, saj </w:t>
      </w:r>
      <w:r w:rsidRPr="00996533">
        <w:rPr>
          <w:rFonts w:eastAsia="Times New Roman" w:cstheme="minorHAnsi"/>
        </w:rPr>
        <w:t>navedba, da v času bivanja zagotovi gel zdravstveni ali socialni zavod iz svojih materialnih stroškov, ni predmet pogojev.</w:t>
      </w:r>
    </w:p>
    <w:p w14:paraId="450387C1"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19: skupina MP za izboljšanje vida</w:t>
      </w:r>
    </w:p>
    <w:p w14:paraId="337BE3D6" w14:textId="77777777" w:rsidR="00996533" w:rsidRPr="00996533" w:rsidRDefault="00996533" w:rsidP="00996533">
      <w:pPr>
        <w:spacing w:before="120" w:after="0" w:line="240" w:lineRule="auto"/>
        <w:jc w:val="both"/>
        <w:rPr>
          <w:rFonts w:cstheme="minorHAnsi"/>
        </w:rPr>
      </w:pPr>
      <w:r w:rsidRPr="00996533">
        <w:rPr>
          <w:rFonts w:cstheme="minorHAnsi"/>
        </w:rPr>
        <w:t>Skupina je preimenovana zaradi uskladitve s pravili.</w:t>
      </w:r>
    </w:p>
    <w:p w14:paraId="32E051B9"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20: skupina MP za hranjenje ter dajanje olja in zdravil</w:t>
      </w:r>
    </w:p>
    <w:p w14:paraId="62ABFCE6" w14:textId="77777777" w:rsidR="00996533" w:rsidRPr="00996533" w:rsidRDefault="00996533" w:rsidP="00996533">
      <w:pPr>
        <w:spacing w:before="120" w:after="0" w:line="240" w:lineRule="auto"/>
        <w:jc w:val="both"/>
        <w:rPr>
          <w:rFonts w:cstheme="minorHAnsi"/>
        </w:rPr>
      </w:pPr>
      <w:r w:rsidRPr="00996533">
        <w:rPr>
          <w:rFonts w:cstheme="minorHAnsi"/>
        </w:rPr>
        <w:t>Skupina je nova.</w:t>
      </w:r>
    </w:p>
    <w:p w14:paraId="7B11E376" w14:textId="77777777" w:rsidR="00996533" w:rsidRPr="00996533" w:rsidRDefault="00996533" w:rsidP="00996533">
      <w:pPr>
        <w:spacing w:before="120" w:after="0" w:line="240" w:lineRule="auto"/>
        <w:jc w:val="both"/>
        <w:rPr>
          <w:rFonts w:cstheme="minorHAnsi"/>
        </w:rPr>
      </w:pPr>
      <w:r w:rsidRPr="00996533">
        <w:rPr>
          <w:rFonts w:cstheme="minorHAnsi"/>
        </w:rPr>
        <w:t>V I. podskupino so delno preneseni MP iz skupine obvezilni material iz Priloge 17 podskupine pripomočki za injiciranje zdravil (npr. brizga za enkratno uporabo 2 ml), delno so tu novi MP (npr.</w:t>
      </w:r>
      <w:r w:rsidRPr="00996533">
        <w:rPr>
          <w:rFonts w:eastAsia="Times New Roman" w:cstheme="minorHAnsi"/>
        </w:rPr>
        <w:t xml:space="preserve"> brizge za dajanje olja in zdravil 20 ml)</w:t>
      </w:r>
      <w:r w:rsidRPr="00996533">
        <w:rPr>
          <w:rFonts w:cstheme="minorHAnsi"/>
        </w:rPr>
        <w:t>.</w:t>
      </w:r>
    </w:p>
    <w:p w14:paraId="785012E2" w14:textId="77777777" w:rsidR="00996533" w:rsidRPr="00996533" w:rsidRDefault="00996533" w:rsidP="00996533">
      <w:pPr>
        <w:spacing w:before="120" w:after="0" w:line="240" w:lineRule="auto"/>
        <w:jc w:val="both"/>
        <w:rPr>
          <w:rFonts w:cstheme="minorHAnsi"/>
        </w:rPr>
      </w:pPr>
      <w:r w:rsidRPr="00996533">
        <w:rPr>
          <w:rFonts w:cstheme="minorHAnsi"/>
        </w:rPr>
        <w:t>V II. Podskupini, MP za hranjenje, pa so v celoti novi MP, kot so določeni z novelo pravil (enajsti odstavek 89. člena pravil), skupaj z določenimi pogoji.</w:t>
      </w:r>
    </w:p>
    <w:p w14:paraId="32F17365" w14:textId="77777777" w:rsidR="00996533" w:rsidRPr="00996533" w:rsidRDefault="00996533" w:rsidP="00996533">
      <w:pPr>
        <w:pStyle w:val="len"/>
        <w:shd w:val="clear" w:color="auto" w:fill="FFFFFF"/>
        <w:tabs>
          <w:tab w:val="left" w:pos="993"/>
        </w:tabs>
        <w:spacing w:before="240" w:beforeAutospacing="0" w:after="0" w:afterAutospacing="0"/>
        <w:rPr>
          <w:rFonts w:asciiTheme="minorHAnsi" w:hAnsiTheme="minorHAnsi" w:cstheme="minorHAnsi"/>
          <w:b/>
          <w:bCs/>
          <w:sz w:val="22"/>
          <w:szCs w:val="22"/>
        </w:rPr>
      </w:pPr>
      <w:r w:rsidRPr="00996533">
        <w:rPr>
          <w:rFonts w:asciiTheme="minorHAnsi" w:hAnsiTheme="minorHAnsi" w:cstheme="minorHAnsi"/>
          <w:b/>
          <w:bCs/>
          <w:sz w:val="22"/>
          <w:szCs w:val="22"/>
        </w:rPr>
        <w:t>Priloga 21: skupina MP za kompresijsko zdravljenje</w:t>
      </w:r>
    </w:p>
    <w:p w14:paraId="73E4B6F1" w14:textId="77777777" w:rsidR="00996533" w:rsidRPr="00996533" w:rsidRDefault="00996533" w:rsidP="00996533">
      <w:pPr>
        <w:spacing w:before="120" w:after="0" w:line="240" w:lineRule="auto"/>
        <w:jc w:val="both"/>
        <w:rPr>
          <w:rFonts w:cstheme="minorHAnsi"/>
        </w:rPr>
      </w:pPr>
      <w:r w:rsidRPr="00996533">
        <w:rPr>
          <w:rFonts w:cstheme="minorHAnsi"/>
        </w:rPr>
        <w:t>Skupina je nova.</w:t>
      </w:r>
    </w:p>
    <w:p w14:paraId="284B1FCE" w14:textId="77777777" w:rsidR="00996533" w:rsidRPr="00996533" w:rsidRDefault="00996533" w:rsidP="00996533">
      <w:pPr>
        <w:spacing w:before="120" w:after="0" w:line="240" w:lineRule="auto"/>
        <w:jc w:val="both"/>
        <w:rPr>
          <w:rFonts w:cstheme="minorHAnsi"/>
        </w:rPr>
      </w:pPr>
      <w:r w:rsidRPr="00996533">
        <w:rPr>
          <w:rFonts w:cstheme="minorHAnsi"/>
        </w:rPr>
        <w:t xml:space="preserve">V to skupino so delno preneseni MP iz skupine drugi MP iz Priloge 14 (npr. kompresijska rokavica, elastična kompresijska nogavica), v pretežnem delu pa gre za nove MP, ki so določeni z novelo pravil (nov, 71.a člen pravil), skupaj z določenimi pogoji zanje. </w:t>
      </w:r>
      <w:r w:rsidRPr="00996533">
        <w:rPr>
          <w:rFonts w:cstheme="minorHAnsi"/>
          <w:bCs/>
        </w:rPr>
        <w:t xml:space="preserve">V veljavni ureditvi je določena pravica do </w:t>
      </w:r>
      <w:r w:rsidRPr="00996533">
        <w:rPr>
          <w:rFonts w:cstheme="minorHAnsi"/>
          <w:bCs/>
        </w:rPr>
        <w:lastRenderedPageBreak/>
        <w:t>kompresijskih rokavic, nogavic in hlačnih nogavic pri zdravljenju limfedema. V predlaganem sklepu pa so poleg stanja limfedema vključena še stanja pri globoki venski trombozi in stanja po zacelitvi kronične rane zaradi venske razjede. Po novem so MP za kompresijsko zdravljenje razdeljeni na krožno in plosko pletene materiale z različnimi stopnjami kompresije (pritiska) in glede na to, na katerem delu telesa se uporabljajo (udi, glava, trup), dodatno pa je predvidena uporaba še določenih dodatkov. Nova ureditev je usklajena z Dermatovenerološko kliniko UKC Ljubljana in Kliničnim oddelkom za žilne bolezni UKC Ljubljana. MP za kompresijsko zdravljenje so sestavni del uspešnega zdravljenja določenih vrst obolenj in hkrati preprečujejo zaplete, ki lahko vodijo v težje obvladljiva zdravstvena stanja z dolgotrajnejšimi postopki zdravljenja. Težje obvladljiva zdravstvena stanja pomenijo dodatne stroške za ZZZS predvsem na področju storitev, zdravil in v primerih aktivnih zavarovanih oseb tudi bolniške odsotnosti.</w:t>
      </w:r>
    </w:p>
    <w:p w14:paraId="650FFD2C" w14:textId="77777777" w:rsidR="00996533" w:rsidRPr="00996533" w:rsidRDefault="00996533" w:rsidP="00996533">
      <w:pPr>
        <w:spacing w:before="360" w:after="0" w:line="240" w:lineRule="auto"/>
        <w:rPr>
          <w:rFonts w:cstheme="minorHAnsi"/>
          <w:b/>
          <w:bCs/>
        </w:rPr>
      </w:pPr>
      <w:r w:rsidRPr="00996533">
        <w:rPr>
          <w:rFonts w:cstheme="minorHAnsi"/>
          <w:b/>
          <w:bCs/>
        </w:rPr>
        <w:t>K 3. </w:t>
      </w:r>
      <w:r w:rsidRPr="00996533">
        <w:rPr>
          <w:rFonts w:eastAsia="Times New Roman" w:cstheme="minorHAnsi"/>
          <w:b/>
          <w:bCs/>
          <w:lang w:eastAsia="sl-SI"/>
        </w:rPr>
        <w:t>členu</w:t>
      </w:r>
      <w:r w:rsidRPr="00996533">
        <w:rPr>
          <w:rFonts w:cstheme="minorHAnsi"/>
          <w:b/>
          <w:bCs/>
        </w:rPr>
        <w:t xml:space="preserve"> (</w:t>
      </w:r>
      <w:r w:rsidRPr="00996533">
        <w:rPr>
          <w:rFonts w:cstheme="minorHAnsi"/>
          <w:b/>
        </w:rPr>
        <w:t>prenehanje</w:t>
      </w:r>
      <w:r w:rsidRPr="00996533">
        <w:rPr>
          <w:rFonts w:cstheme="minorHAnsi"/>
          <w:b/>
          <w:bCs/>
        </w:rPr>
        <w:t xml:space="preserve"> veljavnosti)</w:t>
      </w:r>
    </w:p>
    <w:p w14:paraId="31706AEF" w14:textId="77777777" w:rsidR="00996533" w:rsidRPr="00996533" w:rsidRDefault="00996533" w:rsidP="00996533">
      <w:pPr>
        <w:spacing w:before="120" w:after="0" w:line="240" w:lineRule="auto"/>
        <w:jc w:val="both"/>
        <w:rPr>
          <w:rFonts w:cstheme="minorHAnsi"/>
        </w:rPr>
      </w:pPr>
      <w:r w:rsidRPr="00996533">
        <w:rPr>
          <w:rFonts w:cstheme="minorHAnsi"/>
        </w:rPr>
        <w:t>Člen določa prenehanje veljavnosti zdaj veljavnega sklepa in trenutno še veljavnega sklepa upravnega odbora zavoda, kolikor ni prenehal veljati že pred uveljavitvijo novega sklepa. Pogoji za MP, ki so bili določeni v sklepu upravnega odbora zavoda, se po novem urejajo v sklepu, s čimer se zagotavlja usklajenost s pravili in preglednejša pravna ureditev.</w:t>
      </w:r>
    </w:p>
    <w:p w14:paraId="40C32685" w14:textId="77777777" w:rsidR="00996533" w:rsidRPr="00996533" w:rsidRDefault="00996533" w:rsidP="00996533">
      <w:pPr>
        <w:spacing w:before="360" w:after="0" w:line="240" w:lineRule="auto"/>
        <w:rPr>
          <w:rFonts w:cstheme="minorHAnsi"/>
          <w:b/>
          <w:bCs/>
        </w:rPr>
      </w:pPr>
      <w:r w:rsidRPr="00996533">
        <w:rPr>
          <w:rFonts w:cstheme="minorHAnsi"/>
          <w:b/>
          <w:bCs/>
        </w:rPr>
        <w:t>K 4. </w:t>
      </w:r>
      <w:r w:rsidRPr="00996533">
        <w:rPr>
          <w:rFonts w:eastAsia="Times New Roman" w:cstheme="minorHAnsi"/>
          <w:b/>
          <w:bCs/>
          <w:lang w:eastAsia="sl-SI"/>
        </w:rPr>
        <w:t>členu (</w:t>
      </w:r>
      <w:r w:rsidRPr="00996533">
        <w:rPr>
          <w:rFonts w:cstheme="minorHAnsi"/>
          <w:b/>
        </w:rPr>
        <w:t>prehodna</w:t>
      </w:r>
      <w:r w:rsidRPr="00996533">
        <w:rPr>
          <w:rFonts w:cstheme="minorHAnsi"/>
          <w:b/>
          <w:bCs/>
        </w:rPr>
        <w:t xml:space="preserve"> ureditev za MP pri kolostomi, ileostomi in urostomi)</w:t>
      </w:r>
    </w:p>
    <w:p w14:paraId="19A99209" w14:textId="577C1ED8" w:rsidR="00996533" w:rsidRPr="00996533" w:rsidRDefault="00996533" w:rsidP="00996533">
      <w:pPr>
        <w:spacing w:before="120" w:after="0" w:line="240" w:lineRule="auto"/>
        <w:jc w:val="both"/>
        <w:rPr>
          <w:rFonts w:cstheme="minorHAnsi"/>
        </w:rPr>
      </w:pPr>
      <w:r w:rsidRPr="00996533">
        <w:rPr>
          <w:rFonts w:cstheme="minorHAnsi"/>
        </w:rPr>
        <w:t>Prehodni 4. člen sklepa za MP pri kolostomi, ileostomi in urostomi je vsebinsko enak prehodnemu 3. členu veljavnega sklepa, le da sta Prilogi preštevilčeni zaradi novih skupin MP. Od 1. junija 2020 (ko je začel veljati veljavni sklep) se za te MP uporabljajo pogoji iz Priloge 22 (po veljavnem sklepu Priloga 10). Ti pogoji za MP se bodo uporabljali, dokler ne bodo na seznam</w:t>
      </w:r>
      <w:r w:rsidR="00BE2BD3">
        <w:rPr>
          <w:rFonts w:cstheme="minorHAnsi"/>
        </w:rPr>
        <w:t> </w:t>
      </w:r>
      <w:r w:rsidRPr="00996533">
        <w:rPr>
          <w:rFonts w:cstheme="minorHAnsi"/>
        </w:rPr>
        <w:t>MP uvrščene posamezne vrste MP iz te skupine MP. Od takrat dalje se bodo uporabljali pogoji za MP iz Priloge 10 (po veljavnem sklepu Priloga 6).</w:t>
      </w:r>
    </w:p>
    <w:p w14:paraId="19543552" w14:textId="77777777" w:rsidR="00996533" w:rsidRPr="00996533" w:rsidRDefault="00996533" w:rsidP="00996533">
      <w:pPr>
        <w:spacing w:before="360" w:after="0" w:line="240" w:lineRule="auto"/>
        <w:rPr>
          <w:rFonts w:cstheme="minorHAnsi"/>
          <w:b/>
          <w:bCs/>
        </w:rPr>
      </w:pPr>
      <w:r w:rsidRPr="00996533">
        <w:rPr>
          <w:rFonts w:cstheme="minorHAnsi"/>
          <w:b/>
          <w:bCs/>
        </w:rPr>
        <w:t>K 5. </w:t>
      </w:r>
      <w:r w:rsidRPr="00996533">
        <w:rPr>
          <w:rFonts w:eastAsia="Times New Roman" w:cstheme="minorHAnsi"/>
          <w:b/>
          <w:bCs/>
          <w:lang w:eastAsia="sl-SI"/>
        </w:rPr>
        <w:t>členu (</w:t>
      </w:r>
      <w:r w:rsidRPr="00996533">
        <w:rPr>
          <w:rFonts w:cstheme="minorHAnsi"/>
          <w:b/>
        </w:rPr>
        <w:t>prehodna</w:t>
      </w:r>
      <w:r w:rsidRPr="00996533">
        <w:rPr>
          <w:rFonts w:cstheme="minorHAnsi"/>
          <w:b/>
          <w:bCs/>
        </w:rPr>
        <w:t xml:space="preserve"> ureditev za MP pri inkontinenci in težavah z odvajanjem seča)</w:t>
      </w:r>
    </w:p>
    <w:p w14:paraId="4E8E3A4B" w14:textId="238E53C7" w:rsidR="00996533" w:rsidRPr="00996533" w:rsidRDefault="00996533" w:rsidP="00996533">
      <w:pPr>
        <w:spacing w:before="120" w:after="0" w:line="240" w:lineRule="auto"/>
        <w:jc w:val="both"/>
        <w:rPr>
          <w:rFonts w:cstheme="minorHAnsi"/>
        </w:rPr>
      </w:pPr>
      <w:r w:rsidRPr="00996533">
        <w:rPr>
          <w:rFonts w:cstheme="minorHAnsi"/>
        </w:rPr>
        <w:t>Prehodni 5. člen sklepa za MP pri inkontinenci in težavah z odvajanjem seča je vsebinsko podoben prehodnemu 4. členu veljavnega sklepa, le da je člen dopolnjen zaradi uskladitve z novelo pravil. V skladu z novelo pravil se bodo spremembe zagotavljanja teh MP (predpisovanje MP na ravni podskupine MP) začele uporabljati 1. 11. 2021. Zato je treba v prehodnih določbah sklepa urediti tudi zagotavljanje teh MP od uveljavitve sklepa oziroma od uveljavitve novele pravil do 1. 11. 2021, ob upoštevanju, da še ni znana časovnica vzpostavitve novega sistema za te MP (tj. vzpostavitve seznama</w:t>
      </w:r>
      <w:r w:rsidR="00BE2BD3">
        <w:rPr>
          <w:rFonts w:cstheme="minorHAnsi"/>
        </w:rPr>
        <w:t> </w:t>
      </w:r>
      <w:r w:rsidRPr="00996533">
        <w:rPr>
          <w:rFonts w:cstheme="minorHAnsi"/>
        </w:rPr>
        <w:t>MP za te vrste MP). Zato so določene nove tri prehodne Priloge, in sicer Priloga 23, 24 in 25.</w:t>
      </w:r>
    </w:p>
    <w:p w14:paraId="415F2F3B" w14:textId="191CB614" w:rsidR="00996533" w:rsidRPr="00996533" w:rsidRDefault="00996533" w:rsidP="00996533">
      <w:pPr>
        <w:spacing w:before="120" w:after="0" w:line="240" w:lineRule="auto"/>
        <w:jc w:val="both"/>
        <w:rPr>
          <w:rFonts w:cstheme="minorHAnsi"/>
        </w:rPr>
      </w:pPr>
      <w:r w:rsidRPr="00996533">
        <w:rPr>
          <w:rFonts w:cstheme="minorHAnsi"/>
        </w:rPr>
        <w:t>Priloga 23 se bo uporabljala, če bo pred 1. 11. 2021 vzpostavljen seznam</w:t>
      </w:r>
      <w:r w:rsidR="00BE2BD3">
        <w:rPr>
          <w:rFonts w:cstheme="minorHAnsi"/>
        </w:rPr>
        <w:t> </w:t>
      </w:r>
      <w:r w:rsidRPr="00996533">
        <w:rPr>
          <w:rFonts w:cstheme="minorHAnsi"/>
        </w:rPr>
        <w:t>MP za to skupino MP. V tem primeru se bo ta Priloga uporabljala od vzpostavitve seznama</w:t>
      </w:r>
      <w:r w:rsidR="00BE2BD3">
        <w:rPr>
          <w:rFonts w:cstheme="minorHAnsi"/>
        </w:rPr>
        <w:t> </w:t>
      </w:r>
      <w:r w:rsidRPr="00996533">
        <w:rPr>
          <w:rFonts w:cstheme="minorHAnsi"/>
        </w:rPr>
        <w:t>MP do 1. 11. 2021 (tj. do vključno 31. 10. 2021).</w:t>
      </w:r>
    </w:p>
    <w:p w14:paraId="7BA3B80E" w14:textId="77C77F7A" w:rsidR="00996533" w:rsidRPr="00996533" w:rsidRDefault="00996533" w:rsidP="00996533">
      <w:pPr>
        <w:spacing w:before="120" w:after="0" w:line="240" w:lineRule="auto"/>
        <w:jc w:val="both"/>
        <w:rPr>
          <w:rFonts w:cstheme="minorHAnsi"/>
        </w:rPr>
      </w:pPr>
      <w:r w:rsidRPr="00996533">
        <w:rPr>
          <w:rFonts w:cstheme="minorHAnsi"/>
        </w:rPr>
        <w:t>Priloga 24 in Priloga 25 se bosta uporabljali, če do 1. 11. 2021 ne bo vzpostavljen seznam</w:t>
      </w:r>
      <w:r w:rsidR="00BE2BD3">
        <w:rPr>
          <w:rFonts w:cstheme="minorHAnsi"/>
        </w:rPr>
        <w:t> </w:t>
      </w:r>
      <w:r w:rsidRPr="00996533">
        <w:rPr>
          <w:rFonts w:cstheme="minorHAnsi"/>
        </w:rPr>
        <w:t>MP za to skupino</w:t>
      </w:r>
      <w:r w:rsidR="00BE2BD3">
        <w:rPr>
          <w:rFonts w:cstheme="minorHAnsi"/>
        </w:rPr>
        <w:t> </w:t>
      </w:r>
      <w:r w:rsidRPr="00996533">
        <w:rPr>
          <w:rFonts w:cstheme="minorHAnsi"/>
        </w:rPr>
        <w:t>MP. V tem primeru se bo:</w:t>
      </w:r>
    </w:p>
    <w:p w14:paraId="52D8F82E" w14:textId="77777777" w:rsidR="00996533" w:rsidRPr="00996533" w:rsidRDefault="00996533" w:rsidP="00996533">
      <w:pPr>
        <w:pStyle w:val="Odstavekseznama"/>
        <w:numPr>
          <w:ilvl w:val="0"/>
          <w:numId w:val="26"/>
        </w:numPr>
        <w:spacing w:after="0" w:line="240" w:lineRule="auto"/>
        <w:ind w:left="425" w:hanging="425"/>
        <w:contextualSpacing w:val="0"/>
        <w:jc w:val="both"/>
        <w:rPr>
          <w:rFonts w:cstheme="minorHAnsi"/>
        </w:rPr>
      </w:pPr>
      <w:r w:rsidRPr="00996533">
        <w:rPr>
          <w:rFonts w:cstheme="minorHAnsi"/>
        </w:rPr>
        <w:t>Priloga 24 uporabljala od dne uveljavitve sklepa do 1. 11. 2021 – gre torej za obstoječe stanje, tako da je to prehodno obdobje gotovo in se te MP lahko predpisuje in izdaja takoj od uveljavitve sklepa;</w:t>
      </w:r>
    </w:p>
    <w:p w14:paraId="68B5E9BB" w14:textId="5B5CE4B3" w:rsidR="00996533" w:rsidRPr="00996533" w:rsidRDefault="00996533" w:rsidP="00996533">
      <w:pPr>
        <w:pStyle w:val="Odstavekseznama"/>
        <w:numPr>
          <w:ilvl w:val="0"/>
          <w:numId w:val="26"/>
        </w:numPr>
        <w:spacing w:after="0" w:line="240" w:lineRule="auto"/>
        <w:ind w:left="425" w:hanging="425"/>
        <w:contextualSpacing w:val="0"/>
        <w:jc w:val="both"/>
        <w:rPr>
          <w:rFonts w:cstheme="minorHAnsi"/>
        </w:rPr>
      </w:pPr>
      <w:r w:rsidRPr="00996533">
        <w:rPr>
          <w:rFonts w:cstheme="minorHAnsi"/>
        </w:rPr>
        <w:t>Priloga 25 uporabljala od 1. 11. 2021 do vzpostavitve seznama – od 1. 11. 2021 se bo MP iz te skupine predpisovalo na ravni podskupin</w:t>
      </w:r>
      <w:r w:rsidR="00BE2BD3">
        <w:rPr>
          <w:rFonts w:cstheme="minorHAnsi"/>
        </w:rPr>
        <w:t> </w:t>
      </w:r>
      <w:r w:rsidRPr="00996533">
        <w:rPr>
          <w:rFonts w:cstheme="minorHAnsi"/>
        </w:rPr>
        <w:t>MP, ne več na ravni vrste MP.</w:t>
      </w:r>
    </w:p>
    <w:p w14:paraId="25D48FCA" w14:textId="77777777" w:rsidR="00996533" w:rsidRPr="00996533" w:rsidRDefault="00996533" w:rsidP="00996533">
      <w:pPr>
        <w:spacing w:before="360" w:after="0" w:line="240" w:lineRule="auto"/>
        <w:rPr>
          <w:rFonts w:cstheme="minorHAnsi"/>
          <w:b/>
          <w:bCs/>
        </w:rPr>
      </w:pPr>
      <w:r w:rsidRPr="00996533">
        <w:rPr>
          <w:rFonts w:cstheme="minorHAnsi"/>
          <w:b/>
          <w:bCs/>
        </w:rPr>
        <w:t>K 6.</w:t>
      </w:r>
      <w:r w:rsidRPr="00996533">
        <w:rPr>
          <w:rFonts w:cstheme="minorHAnsi"/>
        </w:rPr>
        <w:t> </w:t>
      </w:r>
      <w:r w:rsidRPr="00996533">
        <w:rPr>
          <w:rFonts w:eastAsia="Times New Roman" w:cstheme="minorHAnsi"/>
          <w:b/>
          <w:bCs/>
          <w:lang w:eastAsia="sl-SI"/>
        </w:rPr>
        <w:t>členu (</w:t>
      </w:r>
      <w:r w:rsidRPr="00996533">
        <w:rPr>
          <w:rFonts w:cstheme="minorHAnsi"/>
          <w:b/>
          <w:bCs/>
        </w:rPr>
        <w:t xml:space="preserve">začetek </w:t>
      </w:r>
      <w:r w:rsidRPr="00996533">
        <w:rPr>
          <w:rFonts w:cstheme="minorHAnsi"/>
          <w:b/>
        </w:rPr>
        <w:t>uporabe</w:t>
      </w:r>
      <w:r w:rsidRPr="00996533">
        <w:rPr>
          <w:rFonts w:cstheme="minorHAnsi"/>
          <w:b/>
          <w:bCs/>
        </w:rPr>
        <w:t>)</w:t>
      </w:r>
    </w:p>
    <w:p w14:paraId="669CFE97" w14:textId="77777777" w:rsidR="00996533" w:rsidRPr="00996533" w:rsidRDefault="00996533" w:rsidP="00996533">
      <w:pPr>
        <w:spacing w:before="120" w:after="0" w:line="240" w:lineRule="auto"/>
        <w:jc w:val="both"/>
        <w:rPr>
          <w:rFonts w:cstheme="minorHAnsi"/>
        </w:rPr>
      </w:pPr>
      <w:r w:rsidRPr="00996533">
        <w:rPr>
          <w:rFonts w:cstheme="minorHAnsi"/>
        </w:rPr>
        <w:t xml:space="preserve">Zaradi potrebnih prilagoditev sistema pri izvajalcih zdravstvenih storitev, dobaviteljih in zavodu ter zaradi uskladitve začetka uporabe določb z novelo pravil je določeno, da se ureditev za določene MP začne uporabljati </w:t>
      </w:r>
      <w:bookmarkStart w:id="1" w:name="_Hlk57269620"/>
      <w:r w:rsidRPr="00996533">
        <w:rPr>
          <w:rFonts w:cstheme="minorHAnsi"/>
        </w:rPr>
        <w:t>15 dni od uveljavitve sklepa</w:t>
      </w:r>
      <w:bookmarkEnd w:id="1"/>
      <w:r w:rsidRPr="00996533">
        <w:rPr>
          <w:rFonts w:cstheme="minorHAnsi"/>
        </w:rPr>
        <w:t>, za določene pa 1. 11. 2021.</w:t>
      </w:r>
    </w:p>
    <w:p w14:paraId="2FDFC843" w14:textId="4930C395" w:rsidR="00996533" w:rsidRPr="00996533" w:rsidRDefault="00996533" w:rsidP="00996533">
      <w:pPr>
        <w:spacing w:before="120" w:after="0" w:line="240" w:lineRule="auto"/>
        <w:jc w:val="both"/>
        <w:rPr>
          <w:rFonts w:cstheme="minorHAnsi"/>
        </w:rPr>
      </w:pPr>
      <w:r w:rsidRPr="00996533">
        <w:rPr>
          <w:rFonts w:cstheme="minorHAnsi"/>
        </w:rPr>
        <w:lastRenderedPageBreak/>
        <w:t>Zaradi uskladitve z novelo pravil se bo sklep začel uporabljati 1. 11. 2021 glede naslednjih</w:t>
      </w:r>
      <w:r w:rsidR="00BE2BD3">
        <w:rPr>
          <w:rFonts w:cstheme="minorHAnsi"/>
        </w:rPr>
        <w:t> </w:t>
      </w:r>
      <w:r w:rsidRPr="00996533">
        <w:rPr>
          <w:rFonts w:cstheme="minorHAnsi"/>
        </w:rPr>
        <w:t>MP:</w:t>
      </w:r>
    </w:p>
    <w:p w14:paraId="37129146" w14:textId="63B7297C"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novi</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MP: pogoni za voziček;</w:t>
      </w:r>
    </w:p>
    <w:p w14:paraId="5E5C0996" w14:textId="3C217034"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hAnsiTheme="minorHAnsi" w:cstheme="minorHAnsi"/>
          <w:sz w:val="22"/>
          <w:szCs w:val="22"/>
        </w:rPr>
        <w:t>novi</w:t>
      </w:r>
      <w:r w:rsidR="00461AE7">
        <w:rPr>
          <w:rFonts w:asciiTheme="minorHAnsi" w:hAnsiTheme="minorHAnsi" w:cstheme="minorHAnsi"/>
          <w:sz w:val="22"/>
          <w:szCs w:val="22"/>
        </w:rPr>
        <w:t> </w:t>
      </w:r>
      <w:r w:rsidRPr="00996533">
        <w:rPr>
          <w:rFonts w:asciiTheme="minorHAnsi" w:hAnsiTheme="minorHAnsi" w:cstheme="minorHAnsi"/>
          <w:sz w:val="22"/>
          <w:szCs w:val="22"/>
        </w:rPr>
        <w:t>MP: izkašljevalnik s potrošnimi materiali;</w:t>
      </w:r>
    </w:p>
    <w:p w14:paraId="0BE8B38F" w14:textId="335374E1"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hAnsiTheme="minorHAnsi" w:cstheme="minorHAnsi"/>
          <w:sz w:val="22"/>
          <w:szCs w:val="22"/>
        </w:rPr>
        <w:t>novi</w:t>
      </w:r>
      <w:r w:rsidR="00461AE7">
        <w:rPr>
          <w:rFonts w:asciiTheme="minorHAnsi" w:hAnsiTheme="minorHAnsi" w:cstheme="minorHAnsi"/>
          <w:sz w:val="22"/>
          <w:szCs w:val="22"/>
        </w:rPr>
        <w:t> </w:t>
      </w:r>
      <w:r w:rsidRPr="00996533">
        <w:rPr>
          <w:rFonts w:asciiTheme="minorHAnsi" w:hAnsiTheme="minorHAnsi" w:cstheme="minorHAnsi"/>
          <w:sz w:val="22"/>
          <w:szCs w:val="22"/>
        </w:rPr>
        <w:t>MP: MP</w:t>
      </w:r>
      <w:r w:rsidR="00461AE7">
        <w:rPr>
          <w:rFonts w:asciiTheme="minorHAnsi" w:hAnsiTheme="minorHAnsi" w:cstheme="minorHAnsi"/>
          <w:sz w:val="22"/>
          <w:szCs w:val="22"/>
        </w:rPr>
        <w:t> </w:t>
      </w:r>
      <w:r w:rsidRPr="00996533">
        <w:rPr>
          <w:rFonts w:asciiTheme="minorHAnsi" w:hAnsiTheme="minorHAnsi" w:cstheme="minorHAnsi"/>
          <w:sz w:val="22"/>
          <w:szCs w:val="22"/>
        </w:rPr>
        <w:t>za kompresijsko zdravljenje.</w:t>
      </w:r>
    </w:p>
    <w:p w14:paraId="793D3649" w14:textId="356F5AE9" w:rsidR="00996533" w:rsidRPr="00996533" w:rsidRDefault="00996533" w:rsidP="00996533">
      <w:pPr>
        <w:spacing w:before="120" w:after="0" w:line="240" w:lineRule="auto"/>
        <w:jc w:val="both"/>
        <w:rPr>
          <w:rFonts w:cstheme="minorHAnsi"/>
        </w:rPr>
      </w:pPr>
      <w:r w:rsidRPr="00996533">
        <w:rPr>
          <w:rFonts w:cstheme="minorHAnsi"/>
        </w:rPr>
        <w:t>Zaradi uskladitve z novelo pravil se bo sklep začel uporabljati 15</w:t>
      </w:r>
      <w:r w:rsidR="00461AE7">
        <w:rPr>
          <w:rFonts w:cstheme="minorHAnsi"/>
        </w:rPr>
        <w:t> </w:t>
      </w:r>
      <w:r w:rsidRPr="00996533">
        <w:rPr>
          <w:rFonts w:cstheme="minorHAnsi"/>
        </w:rPr>
        <w:t>dni od uveljavitve sklepa glede naslednjih</w:t>
      </w:r>
      <w:r w:rsidR="00461AE7">
        <w:rPr>
          <w:rFonts w:cstheme="minorHAnsi"/>
        </w:rPr>
        <w:t> </w:t>
      </w:r>
      <w:r w:rsidRPr="00996533">
        <w:rPr>
          <w:rFonts w:cstheme="minorHAnsi"/>
        </w:rPr>
        <w:t>MP:</w:t>
      </w:r>
    </w:p>
    <w:p w14:paraId="3C587758" w14:textId="47C8B3ED"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novi</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MP: ortopedski čevlji in spona po Ponsetijevi metodi;</w:t>
      </w:r>
    </w:p>
    <w:p w14:paraId="28E7494E" w14:textId="3E3469DD"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sobno dvigalo in dvigalo za kopalnico – spremenjeni pogoji, ni več medsebojnega izključevanja med tema</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MP;</w:t>
      </w:r>
    </w:p>
    <w:p w14:paraId="4BF4031C" w14:textId="0053C965"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zaščitno čelado – spremenjeni pogoji za</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MP;</w:t>
      </w:r>
    </w:p>
    <w:p w14:paraId="6B2837D7" w14:textId="556B123A"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novi</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 xml:space="preserve">MP: </w:t>
      </w:r>
      <w:r w:rsidRPr="00996533">
        <w:rPr>
          <w:rFonts w:asciiTheme="minorHAnsi" w:hAnsiTheme="minorHAnsi" w:cstheme="minorHAnsi"/>
          <w:sz w:val="22"/>
          <w:szCs w:val="22"/>
        </w:rPr>
        <w:t>testni trakovi za določanje beljakovin v urinu;</w:t>
      </w:r>
    </w:p>
    <w:p w14:paraId="00F317D0" w14:textId="4BB5700A"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hAnsiTheme="minorHAnsi" w:cstheme="minorHAnsi"/>
          <w:sz w:val="22"/>
          <w:szCs w:val="22"/>
        </w:rPr>
        <w:t>novi</w:t>
      </w:r>
      <w:r w:rsidR="00461AE7">
        <w:rPr>
          <w:rFonts w:asciiTheme="minorHAnsi" w:hAnsiTheme="minorHAnsi" w:cstheme="minorHAnsi"/>
          <w:sz w:val="22"/>
          <w:szCs w:val="22"/>
        </w:rPr>
        <w:t> </w:t>
      </w:r>
      <w:r w:rsidRPr="00996533">
        <w:rPr>
          <w:rFonts w:asciiTheme="minorHAnsi" w:hAnsiTheme="minorHAnsi" w:cstheme="minorHAnsi"/>
          <w:sz w:val="22"/>
          <w:szCs w:val="22"/>
        </w:rPr>
        <w:t>MP: MP</w:t>
      </w:r>
      <w:r w:rsidR="00461AE7">
        <w:rPr>
          <w:rFonts w:asciiTheme="minorHAnsi" w:hAnsiTheme="minorHAnsi" w:cstheme="minorHAnsi"/>
          <w:sz w:val="22"/>
          <w:szCs w:val="22"/>
        </w:rPr>
        <w:t> </w:t>
      </w:r>
      <w:r w:rsidRPr="00996533">
        <w:rPr>
          <w:rFonts w:asciiTheme="minorHAnsi" w:hAnsiTheme="minorHAnsi" w:cstheme="minorHAnsi"/>
          <w:sz w:val="22"/>
          <w:szCs w:val="22"/>
        </w:rPr>
        <w:t>iz podskupine</w:t>
      </w:r>
      <w:r w:rsidR="00BE2BD3">
        <w:rPr>
          <w:rFonts w:asciiTheme="minorHAnsi" w:hAnsiTheme="minorHAnsi" w:cstheme="minorHAnsi"/>
          <w:sz w:val="22"/>
          <w:szCs w:val="22"/>
        </w:rPr>
        <w:t> </w:t>
      </w:r>
      <w:r w:rsidRPr="00996533">
        <w:rPr>
          <w:rFonts w:asciiTheme="minorHAnsi" w:hAnsiTheme="minorHAnsi" w:cstheme="minorHAnsi"/>
          <w:sz w:val="22"/>
          <w:szCs w:val="22"/>
        </w:rPr>
        <w:t>MP</w:t>
      </w:r>
      <w:r w:rsidR="00461AE7">
        <w:rPr>
          <w:rFonts w:asciiTheme="minorHAnsi" w:hAnsiTheme="minorHAnsi" w:cstheme="minorHAnsi"/>
          <w:sz w:val="22"/>
          <w:szCs w:val="22"/>
        </w:rPr>
        <w:t> </w:t>
      </w:r>
      <w:r w:rsidRPr="00996533">
        <w:rPr>
          <w:rFonts w:asciiTheme="minorHAnsi" w:hAnsiTheme="minorHAnsi" w:cstheme="minorHAnsi"/>
          <w:sz w:val="22"/>
          <w:szCs w:val="22"/>
        </w:rPr>
        <w:t>za hranjenje.</w:t>
      </w:r>
    </w:p>
    <w:p w14:paraId="08E53ED6" w14:textId="29C016B1" w:rsidR="00996533" w:rsidRPr="00996533" w:rsidRDefault="00996533" w:rsidP="00996533">
      <w:pPr>
        <w:spacing w:before="120" w:after="0" w:line="240" w:lineRule="auto"/>
        <w:jc w:val="both"/>
        <w:rPr>
          <w:rFonts w:cstheme="minorHAnsi"/>
        </w:rPr>
      </w:pPr>
      <w:r w:rsidRPr="00996533">
        <w:rPr>
          <w:rFonts w:cstheme="minorHAnsi"/>
        </w:rPr>
        <w:t>Iz drugih razlogov (ne zaradi novele pravil) se bo sklep začel uporabljati 15. dan od uveljavitve za naslednje</w:t>
      </w:r>
      <w:r w:rsidR="00461AE7">
        <w:rPr>
          <w:rFonts w:cstheme="minorHAnsi"/>
        </w:rPr>
        <w:t> </w:t>
      </w:r>
      <w:r w:rsidRPr="00996533">
        <w:rPr>
          <w:rFonts w:cstheme="minorHAnsi"/>
        </w:rPr>
        <w:t>MP:</w:t>
      </w:r>
    </w:p>
    <w:p w14:paraId="5DA85B07" w14:textId="52C65BB7"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inzulinsko črpalko s sistemom zaprte zanke – gre za nov</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MP, ki izhaja že iz predhodno veljavnih pravil, zato ta novi</w:t>
      </w:r>
      <w:r w:rsidR="00461AE7">
        <w:rPr>
          <w:rFonts w:asciiTheme="minorHAnsi" w:eastAsiaTheme="minorHAnsi" w:hAnsiTheme="minorHAnsi" w:cstheme="minorHAnsi"/>
          <w:sz w:val="22"/>
          <w:szCs w:val="22"/>
          <w:lang w:eastAsia="en-US"/>
        </w:rPr>
        <w:t> </w:t>
      </w:r>
      <w:r w:rsidRPr="00996533">
        <w:rPr>
          <w:rFonts w:asciiTheme="minorHAnsi" w:eastAsiaTheme="minorHAnsi" w:hAnsiTheme="minorHAnsi" w:cstheme="minorHAnsi"/>
          <w:sz w:val="22"/>
          <w:szCs w:val="22"/>
          <w:lang w:eastAsia="en-US"/>
        </w:rPr>
        <w:t>MP ni vezan na spremembe pravil;</w:t>
      </w:r>
    </w:p>
    <w:p w14:paraId="1EB9053B" w14:textId="77777777"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eastAsiaTheme="minorHAnsi" w:hAnsiTheme="minorHAnsi" w:cstheme="minorHAnsi"/>
          <w:sz w:val="22"/>
          <w:szCs w:val="22"/>
          <w:lang w:eastAsia="en-US"/>
        </w:rPr>
      </w:pPr>
      <w:r w:rsidRPr="00996533">
        <w:rPr>
          <w:rFonts w:asciiTheme="minorHAnsi" w:eastAsiaTheme="minorHAnsi" w:hAnsiTheme="minorHAnsi" w:cstheme="minorHAnsi"/>
          <w:sz w:val="22"/>
          <w:szCs w:val="22"/>
          <w:lang w:eastAsia="en-US"/>
        </w:rPr>
        <w:t>senzor in oddajnik za kontinuirano merjenje glukoze v medceličnini – spremenjeni so pogoji zanju;</w:t>
      </w:r>
    </w:p>
    <w:p w14:paraId="3B0A76F6" w14:textId="77777777"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hAnsiTheme="minorHAnsi" w:cstheme="minorHAnsi"/>
          <w:sz w:val="22"/>
          <w:szCs w:val="22"/>
        </w:rPr>
      </w:pPr>
      <w:r w:rsidRPr="00996533">
        <w:rPr>
          <w:rFonts w:asciiTheme="minorHAnsi" w:eastAsiaTheme="minorHAnsi" w:hAnsiTheme="minorHAnsi" w:cstheme="minorHAnsi"/>
          <w:sz w:val="22"/>
          <w:szCs w:val="22"/>
          <w:lang w:eastAsia="en-US"/>
        </w:rPr>
        <w:t>gel za zaščito</w:t>
      </w:r>
      <w:r w:rsidRPr="00996533">
        <w:rPr>
          <w:rFonts w:asciiTheme="minorHAnsi" w:hAnsiTheme="minorHAnsi" w:cstheme="minorHAnsi"/>
          <w:sz w:val="22"/>
          <w:szCs w:val="22"/>
        </w:rPr>
        <w:t xml:space="preserve"> ustne sluznice za sedem dni – spremenjeni so pogoji.</w:t>
      </w:r>
    </w:p>
    <w:p w14:paraId="1B827CA2" w14:textId="77777777" w:rsidR="00996533" w:rsidRPr="00996533" w:rsidRDefault="00996533" w:rsidP="00996533">
      <w:pPr>
        <w:spacing w:before="360" w:after="0" w:line="240" w:lineRule="auto"/>
        <w:rPr>
          <w:rFonts w:cstheme="minorHAnsi"/>
          <w:b/>
          <w:bCs/>
        </w:rPr>
      </w:pPr>
      <w:r w:rsidRPr="00996533">
        <w:rPr>
          <w:rFonts w:cstheme="minorHAnsi"/>
          <w:b/>
          <w:bCs/>
        </w:rPr>
        <w:t>K 7. </w:t>
      </w:r>
      <w:r w:rsidRPr="00996533">
        <w:rPr>
          <w:rFonts w:eastAsia="Times New Roman" w:cstheme="minorHAnsi"/>
          <w:b/>
          <w:bCs/>
          <w:lang w:eastAsia="sl-SI"/>
        </w:rPr>
        <w:t>členu (</w:t>
      </w:r>
      <w:r w:rsidRPr="00996533">
        <w:rPr>
          <w:rFonts w:cstheme="minorHAnsi"/>
          <w:b/>
          <w:bCs/>
        </w:rPr>
        <w:t xml:space="preserve">začetek </w:t>
      </w:r>
      <w:r w:rsidRPr="00996533">
        <w:rPr>
          <w:rFonts w:cstheme="minorHAnsi"/>
          <w:b/>
        </w:rPr>
        <w:t>veljavnosti</w:t>
      </w:r>
      <w:r w:rsidRPr="00996533">
        <w:rPr>
          <w:rFonts w:cstheme="minorHAnsi"/>
          <w:b/>
          <w:bCs/>
        </w:rPr>
        <w:t>)</w:t>
      </w:r>
    </w:p>
    <w:p w14:paraId="77F40E57" w14:textId="77777777" w:rsidR="00996533" w:rsidRPr="00996533" w:rsidRDefault="00996533" w:rsidP="00996533">
      <w:pPr>
        <w:spacing w:before="120" w:after="0" w:line="240" w:lineRule="auto"/>
        <w:jc w:val="both"/>
        <w:rPr>
          <w:rFonts w:cstheme="minorHAnsi"/>
        </w:rPr>
      </w:pPr>
      <w:r w:rsidRPr="00996533">
        <w:rPr>
          <w:rFonts w:cstheme="minorHAnsi"/>
        </w:rPr>
        <w:t>Določen je običajni 15-dnevni rok od objave do uveljavitve sklepa.</w:t>
      </w:r>
    </w:p>
    <w:p w14:paraId="68D72859" w14:textId="77777777" w:rsidR="00996533" w:rsidRPr="00996533" w:rsidRDefault="00996533" w:rsidP="00996533">
      <w:pPr>
        <w:spacing w:before="360" w:after="0" w:line="240" w:lineRule="auto"/>
        <w:rPr>
          <w:rFonts w:cstheme="minorHAnsi"/>
          <w:b/>
        </w:rPr>
      </w:pPr>
      <w:r w:rsidRPr="00996533">
        <w:rPr>
          <w:rFonts w:cstheme="minorHAnsi"/>
          <w:b/>
        </w:rPr>
        <w:t xml:space="preserve">Ocena </w:t>
      </w:r>
      <w:r w:rsidRPr="00996533">
        <w:rPr>
          <w:rFonts w:cstheme="minorHAnsi"/>
          <w:b/>
          <w:shd w:val="clear" w:color="auto" w:fill="FFFFFF"/>
        </w:rPr>
        <w:t>finančnih</w:t>
      </w:r>
      <w:r w:rsidRPr="00996533">
        <w:rPr>
          <w:rFonts w:cstheme="minorHAnsi"/>
          <w:b/>
        </w:rPr>
        <w:t xml:space="preserve"> posledic sklepa</w:t>
      </w:r>
    </w:p>
    <w:p w14:paraId="2133CB34" w14:textId="77754BE2" w:rsidR="00996533" w:rsidRPr="00996533" w:rsidRDefault="00996533" w:rsidP="00996533">
      <w:pPr>
        <w:spacing w:before="120" w:after="0" w:line="240" w:lineRule="auto"/>
        <w:jc w:val="both"/>
        <w:rPr>
          <w:rFonts w:eastAsia="Times New Roman" w:cstheme="minorHAnsi"/>
          <w:lang w:eastAsia="sl-SI"/>
        </w:rPr>
      </w:pPr>
      <w:r w:rsidRPr="00996533">
        <w:rPr>
          <w:rFonts w:cstheme="minorHAnsi"/>
        </w:rPr>
        <w:t>Ocena finančnih posledic sklepa vključuje izključno posledice sprememb in dopolnitev pogojev za</w:t>
      </w:r>
      <w:r w:rsidR="00BE2BD3">
        <w:rPr>
          <w:rFonts w:cstheme="minorHAnsi"/>
        </w:rPr>
        <w:t> </w:t>
      </w:r>
      <w:r w:rsidRPr="00996533">
        <w:rPr>
          <w:rFonts w:cstheme="minorHAnsi"/>
        </w:rPr>
        <w:t xml:space="preserve">MP, in ne tudi ocenjenih finančnih posledic novele pravil, saj so te podane v obrazložitvi novele pravil. </w:t>
      </w:r>
      <w:r w:rsidRPr="00996533">
        <w:rPr>
          <w:rFonts w:eastAsia="Times New Roman" w:cstheme="minorHAnsi"/>
          <w:lang w:eastAsia="sl-SI"/>
        </w:rPr>
        <w:t>Spremembe in dopolnitve Spremembe in dopolnitve pogojev za</w:t>
      </w:r>
      <w:r w:rsidR="00BE2BD3">
        <w:rPr>
          <w:rFonts w:eastAsia="Times New Roman" w:cstheme="minorHAnsi"/>
          <w:lang w:eastAsia="sl-SI"/>
        </w:rPr>
        <w:t> </w:t>
      </w:r>
      <w:r w:rsidRPr="00996533">
        <w:rPr>
          <w:rFonts w:eastAsia="Times New Roman" w:cstheme="minorHAnsi"/>
          <w:lang w:eastAsia="sl-SI"/>
        </w:rPr>
        <w:t>MP v sklepu imajo naslednje finančne posledice:</w:t>
      </w:r>
    </w:p>
    <w:p w14:paraId="5B0760CE" w14:textId="55BCC8A0" w:rsidR="00996533" w:rsidRPr="00996533" w:rsidRDefault="00996533" w:rsidP="00996533">
      <w:pPr>
        <w:pStyle w:val="len"/>
        <w:numPr>
          <w:ilvl w:val="0"/>
          <w:numId w:val="23"/>
        </w:numPr>
        <w:shd w:val="clear" w:color="auto" w:fill="FFFFFF"/>
        <w:spacing w:before="0" w:beforeAutospacing="0" w:after="0" w:afterAutospacing="0"/>
        <w:ind w:left="426" w:hanging="426"/>
        <w:jc w:val="both"/>
        <w:rPr>
          <w:rFonts w:asciiTheme="minorHAnsi" w:hAnsiTheme="minorHAnsi" w:cstheme="minorHAnsi"/>
          <w:sz w:val="22"/>
          <w:szCs w:val="22"/>
        </w:rPr>
      </w:pPr>
      <w:r w:rsidRPr="00996533">
        <w:rPr>
          <w:rFonts w:asciiTheme="minorHAnsi" w:hAnsiTheme="minorHAnsi" w:cstheme="minorHAnsi"/>
          <w:sz w:val="22"/>
          <w:szCs w:val="22"/>
        </w:rPr>
        <w:t xml:space="preserve">zaradi </w:t>
      </w:r>
      <w:r w:rsidRPr="00996533">
        <w:rPr>
          <w:rFonts w:asciiTheme="minorHAnsi" w:eastAsiaTheme="minorHAnsi" w:hAnsiTheme="minorHAnsi" w:cstheme="minorHAnsi"/>
          <w:sz w:val="22"/>
          <w:szCs w:val="22"/>
          <w:lang w:eastAsia="en-US"/>
        </w:rPr>
        <w:t>sprememb</w:t>
      </w:r>
      <w:r w:rsidRPr="00996533">
        <w:rPr>
          <w:rFonts w:asciiTheme="minorHAnsi" w:hAnsiTheme="minorHAnsi" w:cstheme="minorHAnsi"/>
          <w:sz w:val="22"/>
          <w:szCs w:val="22"/>
        </w:rPr>
        <w:t xml:space="preserve"> in dopolnitev zdravstvenih stanj in drugih pogojev za MP</w:t>
      </w:r>
      <w:r w:rsidR="00BE2BD3">
        <w:rPr>
          <w:rFonts w:asciiTheme="minorHAnsi" w:hAnsiTheme="minorHAnsi" w:cstheme="minorHAnsi"/>
          <w:sz w:val="22"/>
          <w:szCs w:val="22"/>
        </w:rPr>
        <w:t> </w:t>
      </w:r>
      <w:r w:rsidRPr="00996533">
        <w:rPr>
          <w:rFonts w:asciiTheme="minorHAnsi" w:hAnsiTheme="minorHAnsi" w:cstheme="minorHAnsi"/>
          <w:sz w:val="22"/>
          <w:szCs w:val="22"/>
        </w:rPr>
        <w:t xml:space="preserve">za kompresijsko zdravljenje bodo odhodki zavoda na letni ravni </w:t>
      </w:r>
      <w:r w:rsidRPr="00996533">
        <w:rPr>
          <w:rFonts w:asciiTheme="minorHAnsi" w:hAnsiTheme="minorHAnsi" w:cstheme="minorHAnsi"/>
          <w:b/>
          <w:bCs/>
          <w:sz w:val="22"/>
          <w:szCs w:val="22"/>
        </w:rPr>
        <w:t>višji</w:t>
      </w:r>
      <w:r w:rsidRPr="00996533">
        <w:rPr>
          <w:rFonts w:asciiTheme="minorHAnsi" w:hAnsiTheme="minorHAnsi" w:cstheme="minorHAnsi"/>
          <w:sz w:val="22"/>
          <w:szCs w:val="22"/>
        </w:rPr>
        <w:t xml:space="preserve"> za 1,338.200 evrov, v breme</w:t>
      </w:r>
      <w:r w:rsidR="00461AE7">
        <w:rPr>
          <w:rFonts w:asciiTheme="minorHAnsi" w:hAnsiTheme="minorHAnsi" w:cstheme="minorHAnsi"/>
          <w:sz w:val="22"/>
          <w:szCs w:val="22"/>
        </w:rPr>
        <w:t xml:space="preserve"> dopolnilnega zdravstvenega zavarovanja oziroma</w:t>
      </w:r>
      <w:r w:rsidR="007660CD">
        <w:rPr>
          <w:rFonts w:asciiTheme="minorHAnsi" w:hAnsiTheme="minorHAnsi" w:cstheme="minorHAnsi"/>
          <w:sz w:val="22"/>
          <w:szCs w:val="22"/>
        </w:rPr>
        <w:t xml:space="preserve"> </w:t>
      </w:r>
      <w:r w:rsidR="00281411">
        <w:rPr>
          <w:rFonts w:asciiTheme="minorHAnsi" w:hAnsiTheme="minorHAnsi" w:cstheme="minorHAnsi"/>
          <w:sz w:val="22"/>
          <w:szCs w:val="22"/>
        </w:rPr>
        <w:t>iz</w:t>
      </w:r>
      <w:r w:rsidR="007660CD">
        <w:rPr>
          <w:rFonts w:asciiTheme="minorHAnsi" w:hAnsiTheme="minorHAnsi" w:cstheme="minorHAnsi"/>
          <w:sz w:val="22"/>
          <w:szCs w:val="22"/>
        </w:rPr>
        <w:t xml:space="preserve"> sredstev</w:t>
      </w:r>
      <w:r w:rsidR="00281411">
        <w:rPr>
          <w:rFonts w:asciiTheme="minorHAnsi" w:hAnsiTheme="minorHAnsi" w:cstheme="minorHAnsi"/>
          <w:sz w:val="22"/>
          <w:szCs w:val="22"/>
        </w:rPr>
        <w:t xml:space="preserve"> za</w:t>
      </w:r>
      <w:r w:rsidR="007660CD">
        <w:rPr>
          <w:rFonts w:asciiTheme="minorHAnsi" w:hAnsiTheme="minorHAnsi" w:cstheme="minorHAnsi"/>
          <w:sz w:val="22"/>
          <w:szCs w:val="22"/>
        </w:rPr>
        <w:t xml:space="preserve"> </w:t>
      </w:r>
      <w:r w:rsidR="00281411">
        <w:rPr>
          <w:rFonts w:asciiTheme="minorHAnsi" w:hAnsiTheme="minorHAnsi" w:cstheme="minorHAnsi"/>
          <w:sz w:val="22"/>
          <w:szCs w:val="22"/>
        </w:rPr>
        <w:t>doplačila</w:t>
      </w:r>
      <w:r w:rsidR="007660CD">
        <w:rPr>
          <w:rFonts w:asciiTheme="minorHAnsi" w:hAnsiTheme="minorHAnsi" w:cstheme="minorHAnsi"/>
          <w:sz w:val="22"/>
          <w:szCs w:val="22"/>
        </w:rPr>
        <w:t xml:space="preserve"> </w:t>
      </w:r>
      <w:r w:rsidRPr="00996533">
        <w:rPr>
          <w:rFonts w:asciiTheme="minorHAnsi" w:hAnsiTheme="minorHAnsi" w:cstheme="minorHAnsi"/>
          <w:sz w:val="22"/>
          <w:szCs w:val="22"/>
        </w:rPr>
        <w:t>pa za 216.800 evrov,</w:t>
      </w:r>
    </w:p>
    <w:p w14:paraId="4519B3A6" w14:textId="002D54B9" w:rsidR="00996533" w:rsidRPr="007C05AE" w:rsidRDefault="00996533" w:rsidP="00996533">
      <w:pPr>
        <w:pStyle w:val="len"/>
        <w:numPr>
          <w:ilvl w:val="0"/>
          <w:numId w:val="23"/>
        </w:numPr>
        <w:shd w:val="clear" w:color="auto" w:fill="FFFFFF"/>
        <w:spacing w:before="0" w:beforeAutospacing="0" w:after="0" w:afterAutospacing="0"/>
        <w:ind w:left="426" w:hanging="426"/>
        <w:jc w:val="both"/>
        <w:rPr>
          <w:rFonts w:asciiTheme="minorHAnsi" w:hAnsiTheme="minorHAnsi" w:cstheme="minorHAnsi"/>
          <w:sz w:val="22"/>
          <w:szCs w:val="22"/>
        </w:rPr>
      </w:pPr>
      <w:r w:rsidRPr="00996533">
        <w:rPr>
          <w:rFonts w:asciiTheme="minorHAnsi" w:hAnsiTheme="minorHAnsi" w:cstheme="minorHAnsi"/>
          <w:sz w:val="22"/>
          <w:szCs w:val="22"/>
        </w:rPr>
        <w:t xml:space="preserve">zaradi </w:t>
      </w:r>
      <w:r w:rsidRPr="00996533">
        <w:rPr>
          <w:rFonts w:asciiTheme="minorHAnsi" w:eastAsiaTheme="minorHAnsi" w:hAnsiTheme="minorHAnsi" w:cstheme="minorHAnsi"/>
          <w:sz w:val="22"/>
          <w:szCs w:val="22"/>
          <w:lang w:eastAsia="en-US"/>
        </w:rPr>
        <w:t>sprememb</w:t>
      </w:r>
      <w:r w:rsidRPr="00996533">
        <w:rPr>
          <w:rFonts w:asciiTheme="minorHAnsi" w:hAnsiTheme="minorHAnsi" w:cstheme="minorHAnsi"/>
          <w:sz w:val="22"/>
          <w:szCs w:val="22"/>
        </w:rPr>
        <w:t xml:space="preserve"> pogojev glede upravičenosti do sodobnejše inzulinske črpalke bodo odhodki </w:t>
      </w:r>
      <w:r w:rsidRPr="00996533">
        <w:rPr>
          <w:rFonts w:asciiTheme="minorHAnsi" w:hAnsiTheme="minorHAnsi" w:cstheme="minorHAnsi"/>
          <w:b/>
          <w:bCs/>
          <w:sz w:val="22"/>
          <w:szCs w:val="22"/>
        </w:rPr>
        <w:t xml:space="preserve">višji </w:t>
      </w:r>
      <w:r w:rsidRPr="00996533">
        <w:rPr>
          <w:rFonts w:asciiTheme="minorHAnsi" w:hAnsiTheme="minorHAnsi" w:cstheme="minorHAnsi"/>
          <w:sz w:val="22"/>
          <w:szCs w:val="22"/>
        </w:rPr>
        <w:t>za 3,630.000</w:t>
      </w:r>
      <w:r w:rsidR="00461AE7">
        <w:rPr>
          <w:rFonts w:asciiTheme="minorHAnsi" w:hAnsiTheme="minorHAnsi" w:cstheme="minorHAnsi"/>
          <w:sz w:val="22"/>
          <w:szCs w:val="22"/>
        </w:rPr>
        <w:t> </w:t>
      </w:r>
      <w:r w:rsidRPr="00996533">
        <w:rPr>
          <w:rFonts w:asciiTheme="minorHAnsi" w:hAnsiTheme="minorHAnsi" w:cstheme="minorHAnsi"/>
          <w:sz w:val="22"/>
          <w:szCs w:val="22"/>
        </w:rPr>
        <w:t xml:space="preserve">evrov </w:t>
      </w:r>
      <w:r w:rsidRPr="007C05AE">
        <w:rPr>
          <w:rFonts w:asciiTheme="minorHAnsi" w:hAnsiTheme="minorHAnsi" w:cstheme="minorHAnsi"/>
          <w:b/>
          <w:bCs/>
          <w:sz w:val="22"/>
          <w:szCs w:val="22"/>
        </w:rPr>
        <w:t>v štirih letih</w:t>
      </w:r>
      <w:r w:rsidRPr="007C05AE">
        <w:rPr>
          <w:rFonts w:asciiTheme="minorHAnsi" w:hAnsiTheme="minorHAnsi" w:cstheme="minorHAnsi"/>
          <w:sz w:val="22"/>
          <w:szCs w:val="22"/>
        </w:rPr>
        <w:t xml:space="preserve"> v celoti v breme</w:t>
      </w:r>
      <w:r w:rsidR="00461AE7">
        <w:rPr>
          <w:rFonts w:asciiTheme="minorHAnsi" w:hAnsiTheme="minorHAnsi" w:cstheme="minorHAnsi"/>
          <w:sz w:val="22"/>
          <w:szCs w:val="22"/>
        </w:rPr>
        <w:t> </w:t>
      </w:r>
      <w:r w:rsidRPr="007C05AE">
        <w:rPr>
          <w:rFonts w:asciiTheme="minorHAnsi" w:hAnsiTheme="minorHAnsi" w:cstheme="minorHAnsi"/>
          <w:sz w:val="22"/>
          <w:szCs w:val="22"/>
        </w:rPr>
        <w:t>OZZ,</w:t>
      </w:r>
    </w:p>
    <w:p w14:paraId="59BD0E58" w14:textId="1076CA7F" w:rsidR="00996533" w:rsidRPr="007C05AE" w:rsidRDefault="00996533" w:rsidP="00461AE7">
      <w:pPr>
        <w:pStyle w:val="len"/>
        <w:numPr>
          <w:ilvl w:val="0"/>
          <w:numId w:val="23"/>
        </w:numPr>
        <w:shd w:val="clear" w:color="auto" w:fill="FFFFFF"/>
        <w:spacing w:before="0" w:beforeAutospacing="0" w:after="0" w:afterAutospacing="0"/>
        <w:ind w:left="426" w:hanging="426"/>
        <w:jc w:val="both"/>
        <w:rPr>
          <w:rFonts w:asciiTheme="minorHAnsi" w:hAnsiTheme="minorHAnsi" w:cstheme="minorHAnsi"/>
          <w:sz w:val="22"/>
          <w:szCs w:val="22"/>
        </w:rPr>
      </w:pPr>
      <w:r w:rsidRPr="007C05AE">
        <w:rPr>
          <w:rFonts w:asciiTheme="minorHAnsi" w:hAnsiTheme="minorHAnsi" w:cstheme="minorHAnsi"/>
          <w:sz w:val="22"/>
          <w:szCs w:val="22"/>
        </w:rPr>
        <w:t xml:space="preserve">na </w:t>
      </w:r>
      <w:r w:rsidRPr="007C05AE">
        <w:rPr>
          <w:rFonts w:asciiTheme="minorHAnsi" w:eastAsiaTheme="minorHAnsi" w:hAnsiTheme="minorHAnsi" w:cstheme="minorHAnsi"/>
          <w:sz w:val="22"/>
          <w:szCs w:val="22"/>
          <w:lang w:eastAsia="en-US"/>
        </w:rPr>
        <w:t>podlagi</w:t>
      </w:r>
      <w:r w:rsidRPr="007C05AE">
        <w:rPr>
          <w:rFonts w:asciiTheme="minorHAnsi" w:hAnsiTheme="minorHAnsi" w:cstheme="minorHAnsi"/>
          <w:sz w:val="22"/>
          <w:szCs w:val="22"/>
        </w:rPr>
        <w:t xml:space="preserve"> spremenjenega zdravstvenega stanja in drugih pogojev za dodelitev pravice do senzorjev in oddajnika za kontinuirano merjenje glukoze bodo odhodki </w:t>
      </w:r>
      <w:r w:rsidRPr="007C05AE">
        <w:rPr>
          <w:rFonts w:asciiTheme="minorHAnsi" w:hAnsiTheme="minorHAnsi" w:cstheme="minorHAnsi"/>
          <w:b/>
          <w:bCs/>
          <w:sz w:val="22"/>
          <w:szCs w:val="22"/>
        </w:rPr>
        <w:t>višji</w:t>
      </w:r>
      <w:r w:rsidRPr="007C05AE">
        <w:rPr>
          <w:rFonts w:asciiTheme="minorHAnsi" w:hAnsiTheme="minorHAnsi" w:cstheme="minorHAnsi"/>
          <w:sz w:val="22"/>
          <w:szCs w:val="22"/>
        </w:rPr>
        <w:t xml:space="preserve"> za 1,177.000</w:t>
      </w:r>
      <w:r w:rsidR="00461AE7">
        <w:rPr>
          <w:rFonts w:asciiTheme="minorHAnsi" w:hAnsiTheme="minorHAnsi" w:cstheme="minorHAnsi"/>
          <w:sz w:val="22"/>
          <w:szCs w:val="22"/>
        </w:rPr>
        <w:t> </w:t>
      </w:r>
      <w:r w:rsidRPr="007C05AE">
        <w:rPr>
          <w:rFonts w:asciiTheme="minorHAnsi" w:hAnsiTheme="minorHAnsi" w:cstheme="minorHAnsi"/>
          <w:sz w:val="22"/>
          <w:szCs w:val="22"/>
        </w:rPr>
        <w:t>evrov na letni ravni v celoti v breme</w:t>
      </w:r>
      <w:r w:rsidR="00461AE7">
        <w:rPr>
          <w:rFonts w:asciiTheme="minorHAnsi" w:hAnsiTheme="minorHAnsi" w:cstheme="minorHAnsi"/>
          <w:sz w:val="22"/>
          <w:szCs w:val="22"/>
        </w:rPr>
        <w:t> </w:t>
      </w:r>
      <w:r w:rsidRPr="007C05AE">
        <w:rPr>
          <w:rFonts w:asciiTheme="minorHAnsi" w:hAnsiTheme="minorHAnsi" w:cstheme="minorHAnsi"/>
          <w:sz w:val="22"/>
          <w:szCs w:val="22"/>
        </w:rPr>
        <w:t>OZZ.</w:t>
      </w:r>
    </w:p>
    <w:sectPr w:rsidR="00996533" w:rsidRPr="007C05AE" w:rsidSect="00C91C2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6D18" w14:textId="77777777" w:rsidR="00461AE7" w:rsidRDefault="00461AE7" w:rsidP="009D0C5A">
      <w:pPr>
        <w:spacing w:after="0" w:line="240" w:lineRule="auto"/>
      </w:pPr>
      <w:r>
        <w:separator/>
      </w:r>
    </w:p>
  </w:endnote>
  <w:endnote w:type="continuationSeparator" w:id="0">
    <w:p w14:paraId="5A5F95D4" w14:textId="77777777" w:rsidR="00461AE7" w:rsidRDefault="00461AE7" w:rsidP="009D0C5A">
      <w:pPr>
        <w:spacing w:after="0" w:line="240" w:lineRule="auto"/>
      </w:pPr>
      <w:r>
        <w:continuationSeparator/>
      </w:r>
    </w:p>
  </w:endnote>
  <w:endnote w:type="continuationNotice" w:id="1">
    <w:p w14:paraId="4C2E975C" w14:textId="77777777" w:rsidR="00461AE7" w:rsidRDefault="00461A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25178474"/>
      <w:docPartObj>
        <w:docPartGallery w:val="Page Numbers (Bottom of Page)"/>
        <w:docPartUnique/>
      </w:docPartObj>
    </w:sdtPr>
    <w:sdtEndPr/>
    <w:sdtContent>
      <w:sdt>
        <w:sdtPr>
          <w:rPr>
            <w:sz w:val="16"/>
            <w:szCs w:val="16"/>
          </w:rPr>
          <w:id w:val="2056572677"/>
          <w:docPartObj>
            <w:docPartGallery w:val="Page Numbers (Top of Page)"/>
            <w:docPartUnique/>
          </w:docPartObj>
        </w:sdtPr>
        <w:sdtEndPr/>
        <w:sdtContent>
          <w:p w14:paraId="342A982E" w14:textId="77777777" w:rsidR="00461AE7" w:rsidRPr="005B7291" w:rsidRDefault="00461AE7">
            <w:pPr>
              <w:pStyle w:val="Noga"/>
              <w:jc w:val="right"/>
              <w:rPr>
                <w:sz w:val="16"/>
                <w:szCs w:val="16"/>
              </w:rPr>
            </w:pPr>
            <w:r w:rsidRPr="005B7291">
              <w:rPr>
                <w:sz w:val="16"/>
                <w:szCs w:val="16"/>
              </w:rPr>
              <w:t xml:space="preserve">Stran </w:t>
            </w:r>
            <w:r w:rsidRPr="005B7291">
              <w:rPr>
                <w:b/>
                <w:bCs/>
                <w:sz w:val="16"/>
                <w:szCs w:val="16"/>
              </w:rPr>
              <w:fldChar w:fldCharType="begin"/>
            </w:r>
            <w:r w:rsidRPr="005B7291">
              <w:rPr>
                <w:b/>
                <w:bCs/>
                <w:sz w:val="16"/>
                <w:szCs w:val="16"/>
              </w:rPr>
              <w:instrText>PAGE</w:instrText>
            </w:r>
            <w:r w:rsidRPr="005B7291">
              <w:rPr>
                <w:b/>
                <w:bCs/>
                <w:sz w:val="16"/>
                <w:szCs w:val="16"/>
              </w:rPr>
              <w:fldChar w:fldCharType="separate"/>
            </w:r>
            <w:r w:rsidRPr="005B7291">
              <w:rPr>
                <w:b/>
                <w:bCs/>
                <w:sz w:val="16"/>
                <w:szCs w:val="16"/>
              </w:rPr>
              <w:t>2</w:t>
            </w:r>
            <w:r w:rsidRPr="005B7291">
              <w:rPr>
                <w:b/>
                <w:bCs/>
                <w:sz w:val="16"/>
                <w:szCs w:val="16"/>
              </w:rPr>
              <w:fldChar w:fldCharType="end"/>
            </w:r>
            <w:r w:rsidRPr="005B7291">
              <w:rPr>
                <w:sz w:val="16"/>
                <w:szCs w:val="16"/>
              </w:rPr>
              <w:t xml:space="preserve"> od </w:t>
            </w:r>
            <w:r w:rsidRPr="005B7291">
              <w:rPr>
                <w:b/>
                <w:bCs/>
                <w:sz w:val="16"/>
                <w:szCs w:val="16"/>
              </w:rPr>
              <w:fldChar w:fldCharType="begin"/>
            </w:r>
            <w:r w:rsidRPr="005B7291">
              <w:rPr>
                <w:b/>
                <w:bCs/>
                <w:sz w:val="16"/>
                <w:szCs w:val="16"/>
              </w:rPr>
              <w:instrText>NUMPAGES</w:instrText>
            </w:r>
            <w:r w:rsidRPr="005B7291">
              <w:rPr>
                <w:b/>
                <w:bCs/>
                <w:sz w:val="16"/>
                <w:szCs w:val="16"/>
              </w:rPr>
              <w:fldChar w:fldCharType="separate"/>
            </w:r>
            <w:r w:rsidRPr="005B7291">
              <w:rPr>
                <w:b/>
                <w:bCs/>
                <w:sz w:val="16"/>
                <w:szCs w:val="16"/>
              </w:rPr>
              <w:t>2</w:t>
            </w:r>
            <w:r w:rsidRPr="005B729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B53DA" w14:textId="77777777" w:rsidR="00461AE7" w:rsidRDefault="00461AE7" w:rsidP="009D0C5A">
      <w:pPr>
        <w:spacing w:after="0" w:line="240" w:lineRule="auto"/>
      </w:pPr>
      <w:r>
        <w:separator/>
      </w:r>
    </w:p>
  </w:footnote>
  <w:footnote w:type="continuationSeparator" w:id="0">
    <w:p w14:paraId="02FB5307" w14:textId="77777777" w:rsidR="00461AE7" w:rsidRDefault="00461AE7" w:rsidP="009D0C5A">
      <w:pPr>
        <w:spacing w:after="0" w:line="240" w:lineRule="auto"/>
      </w:pPr>
      <w:r>
        <w:continuationSeparator/>
      </w:r>
    </w:p>
  </w:footnote>
  <w:footnote w:type="continuationNotice" w:id="1">
    <w:p w14:paraId="4CB6DF01" w14:textId="77777777" w:rsidR="00461AE7" w:rsidRDefault="00461A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CD2"/>
    <w:multiLevelType w:val="hybridMultilevel"/>
    <w:tmpl w:val="889AEC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135345"/>
    <w:multiLevelType w:val="hybridMultilevel"/>
    <w:tmpl w:val="8C1A48E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C207BB"/>
    <w:multiLevelType w:val="hybridMultilevel"/>
    <w:tmpl w:val="140C552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B336F"/>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5461847"/>
    <w:multiLevelType w:val="hybridMultilevel"/>
    <w:tmpl w:val="22E03C06"/>
    <w:lvl w:ilvl="0" w:tplc="3456460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316A88"/>
    <w:multiLevelType w:val="hybridMultilevel"/>
    <w:tmpl w:val="5B8A1B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E7914DA"/>
    <w:multiLevelType w:val="hybridMultilevel"/>
    <w:tmpl w:val="F6FEE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F290345"/>
    <w:multiLevelType w:val="hybridMultilevel"/>
    <w:tmpl w:val="3AD42C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6A40CC"/>
    <w:multiLevelType w:val="hybridMultilevel"/>
    <w:tmpl w:val="34C8628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A2B3850"/>
    <w:multiLevelType w:val="hybridMultilevel"/>
    <w:tmpl w:val="44E677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A446FC2"/>
    <w:multiLevelType w:val="hybridMultilevel"/>
    <w:tmpl w:val="7F123EB4"/>
    <w:lvl w:ilvl="0" w:tplc="5C1C0C94">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B817B20"/>
    <w:multiLevelType w:val="hybridMultilevel"/>
    <w:tmpl w:val="8A28A0D0"/>
    <w:lvl w:ilvl="0" w:tplc="34564602">
      <w:start w:val="9"/>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1C320D8"/>
    <w:multiLevelType w:val="hybridMultilevel"/>
    <w:tmpl w:val="80862E9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437259C"/>
    <w:multiLevelType w:val="hybridMultilevel"/>
    <w:tmpl w:val="106C5EA6"/>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74015D4"/>
    <w:multiLevelType w:val="hybridMultilevel"/>
    <w:tmpl w:val="58ECE2F8"/>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175485B"/>
    <w:multiLevelType w:val="hybridMultilevel"/>
    <w:tmpl w:val="30021182"/>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054DD8"/>
    <w:multiLevelType w:val="hybridMultilevel"/>
    <w:tmpl w:val="475C297E"/>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14A0CA7"/>
    <w:multiLevelType w:val="hybridMultilevel"/>
    <w:tmpl w:val="0AEAF40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024E15"/>
    <w:multiLevelType w:val="hybridMultilevel"/>
    <w:tmpl w:val="709EE37C"/>
    <w:lvl w:ilvl="0" w:tplc="5C1C0C94">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74D46E7"/>
    <w:multiLevelType w:val="hybridMultilevel"/>
    <w:tmpl w:val="9D08C480"/>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F66D60"/>
    <w:multiLevelType w:val="hybridMultilevel"/>
    <w:tmpl w:val="76E2216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ACB4A34"/>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3B23C6F"/>
    <w:multiLevelType w:val="hybridMultilevel"/>
    <w:tmpl w:val="39F00D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72F0610"/>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C9A7409"/>
    <w:multiLevelType w:val="hybridMultilevel"/>
    <w:tmpl w:val="3DD22F7E"/>
    <w:lvl w:ilvl="0" w:tplc="3456460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71742E"/>
    <w:multiLevelType w:val="hybridMultilevel"/>
    <w:tmpl w:val="D4DA66D8"/>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23"/>
  </w:num>
  <w:num w:numId="5">
    <w:abstractNumId w:val="13"/>
  </w:num>
  <w:num w:numId="6">
    <w:abstractNumId w:val="20"/>
  </w:num>
  <w:num w:numId="7">
    <w:abstractNumId w:val="10"/>
  </w:num>
  <w:num w:numId="8">
    <w:abstractNumId w:val="18"/>
  </w:num>
  <w:num w:numId="9">
    <w:abstractNumId w:val="15"/>
  </w:num>
  <w:num w:numId="10">
    <w:abstractNumId w:val="9"/>
  </w:num>
  <w:num w:numId="11">
    <w:abstractNumId w:val="1"/>
  </w:num>
  <w:num w:numId="12">
    <w:abstractNumId w:val="22"/>
  </w:num>
  <w:num w:numId="13">
    <w:abstractNumId w:val="7"/>
  </w:num>
  <w:num w:numId="14">
    <w:abstractNumId w:val="12"/>
  </w:num>
  <w:num w:numId="15">
    <w:abstractNumId w:val="24"/>
  </w:num>
  <w:num w:numId="16">
    <w:abstractNumId w:val="17"/>
  </w:num>
  <w:num w:numId="17">
    <w:abstractNumId w:val="19"/>
  </w:num>
  <w:num w:numId="18">
    <w:abstractNumId w:val="25"/>
  </w:num>
  <w:num w:numId="19">
    <w:abstractNumId w:val="2"/>
  </w:num>
  <w:num w:numId="20">
    <w:abstractNumId w:val="4"/>
  </w:num>
  <w:num w:numId="21">
    <w:abstractNumId w:val="11"/>
  </w:num>
  <w:num w:numId="22">
    <w:abstractNumId w:val="6"/>
  </w:num>
  <w:num w:numId="23">
    <w:abstractNumId w:val="16"/>
  </w:num>
  <w:num w:numId="24">
    <w:abstractNumId w:val="5"/>
  </w:num>
  <w:num w:numId="25">
    <w:abstractNumId w:val="8"/>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F"/>
    <w:rsid w:val="000037CA"/>
    <w:rsid w:val="000216CB"/>
    <w:rsid w:val="000367FD"/>
    <w:rsid w:val="00047556"/>
    <w:rsid w:val="00050ED3"/>
    <w:rsid w:val="0005169F"/>
    <w:rsid w:val="000572FF"/>
    <w:rsid w:val="00063D0C"/>
    <w:rsid w:val="000A14C1"/>
    <w:rsid w:val="000B03A5"/>
    <w:rsid w:val="000C0765"/>
    <w:rsid w:val="000C2350"/>
    <w:rsid w:val="000C49B0"/>
    <w:rsid w:val="000C688F"/>
    <w:rsid w:val="00100234"/>
    <w:rsid w:val="001222CD"/>
    <w:rsid w:val="00144823"/>
    <w:rsid w:val="00144CAF"/>
    <w:rsid w:val="00152947"/>
    <w:rsid w:val="001612D2"/>
    <w:rsid w:val="00163FF3"/>
    <w:rsid w:val="00171235"/>
    <w:rsid w:val="00175365"/>
    <w:rsid w:val="001753A6"/>
    <w:rsid w:val="00180AB7"/>
    <w:rsid w:val="00187FA6"/>
    <w:rsid w:val="001A5653"/>
    <w:rsid w:val="001B39B3"/>
    <w:rsid w:val="001B6E32"/>
    <w:rsid w:val="001F2634"/>
    <w:rsid w:val="0020335D"/>
    <w:rsid w:val="0020593B"/>
    <w:rsid w:val="00210485"/>
    <w:rsid w:val="002158BD"/>
    <w:rsid w:val="002173DB"/>
    <w:rsid w:val="0023211C"/>
    <w:rsid w:val="002444CD"/>
    <w:rsid w:val="00245ACD"/>
    <w:rsid w:val="00263C98"/>
    <w:rsid w:val="00273B0B"/>
    <w:rsid w:val="00274717"/>
    <w:rsid w:val="0028035C"/>
    <w:rsid w:val="00281411"/>
    <w:rsid w:val="0029454F"/>
    <w:rsid w:val="002B6F6C"/>
    <w:rsid w:val="002D1A92"/>
    <w:rsid w:val="002D4A8A"/>
    <w:rsid w:val="0031538C"/>
    <w:rsid w:val="00340E2B"/>
    <w:rsid w:val="0035137F"/>
    <w:rsid w:val="003539EE"/>
    <w:rsid w:val="003706C0"/>
    <w:rsid w:val="0037702E"/>
    <w:rsid w:val="00392F9F"/>
    <w:rsid w:val="003A3FB8"/>
    <w:rsid w:val="003A64DD"/>
    <w:rsid w:val="00412637"/>
    <w:rsid w:val="00415F6D"/>
    <w:rsid w:val="00434AB9"/>
    <w:rsid w:val="00434CC3"/>
    <w:rsid w:val="004358F0"/>
    <w:rsid w:val="00450A86"/>
    <w:rsid w:val="00461AE7"/>
    <w:rsid w:val="004654CF"/>
    <w:rsid w:val="004760A9"/>
    <w:rsid w:val="0047750F"/>
    <w:rsid w:val="004A4246"/>
    <w:rsid w:val="004A47B4"/>
    <w:rsid w:val="004B4D13"/>
    <w:rsid w:val="004B7821"/>
    <w:rsid w:val="004B7A03"/>
    <w:rsid w:val="004F4519"/>
    <w:rsid w:val="00501725"/>
    <w:rsid w:val="00504281"/>
    <w:rsid w:val="00510E2C"/>
    <w:rsid w:val="00527CCD"/>
    <w:rsid w:val="00540883"/>
    <w:rsid w:val="00562238"/>
    <w:rsid w:val="00565B1C"/>
    <w:rsid w:val="00580DDA"/>
    <w:rsid w:val="00583E5A"/>
    <w:rsid w:val="005861E1"/>
    <w:rsid w:val="0058628A"/>
    <w:rsid w:val="00595018"/>
    <w:rsid w:val="00597F25"/>
    <w:rsid w:val="005A67BE"/>
    <w:rsid w:val="005A7B6A"/>
    <w:rsid w:val="005B1452"/>
    <w:rsid w:val="005B381B"/>
    <w:rsid w:val="005B45EE"/>
    <w:rsid w:val="005B6224"/>
    <w:rsid w:val="005C01E6"/>
    <w:rsid w:val="005D41C3"/>
    <w:rsid w:val="005D5A7E"/>
    <w:rsid w:val="005E6B71"/>
    <w:rsid w:val="005F0D1F"/>
    <w:rsid w:val="005F26BB"/>
    <w:rsid w:val="005F4E75"/>
    <w:rsid w:val="0061079E"/>
    <w:rsid w:val="00616B53"/>
    <w:rsid w:val="00624550"/>
    <w:rsid w:val="00630F3E"/>
    <w:rsid w:val="0064106D"/>
    <w:rsid w:val="006874A6"/>
    <w:rsid w:val="00697D48"/>
    <w:rsid w:val="006A3865"/>
    <w:rsid w:val="006C3CC6"/>
    <w:rsid w:val="006C655D"/>
    <w:rsid w:val="006C7779"/>
    <w:rsid w:val="006F6028"/>
    <w:rsid w:val="00710C81"/>
    <w:rsid w:val="00715739"/>
    <w:rsid w:val="0072376B"/>
    <w:rsid w:val="007269EB"/>
    <w:rsid w:val="00742BDD"/>
    <w:rsid w:val="00745C54"/>
    <w:rsid w:val="00750ADC"/>
    <w:rsid w:val="007540A1"/>
    <w:rsid w:val="007558E4"/>
    <w:rsid w:val="007660CD"/>
    <w:rsid w:val="007664EA"/>
    <w:rsid w:val="00767674"/>
    <w:rsid w:val="00776B4B"/>
    <w:rsid w:val="007914CF"/>
    <w:rsid w:val="007914FC"/>
    <w:rsid w:val="007A2876"/>
    <w:rsid w:val="007A2C7A"/>
    <w:rsid w:val="007C05AE"/>
    <w:rsid w:val="007C7D58"/>
    <w:rsid w:val="007D6950"/>
    <w:rsid w:val="00801938"/>
    <w:rsid w:val="00804C2C"/>
    <w:rsid w:val="00805466"/>
    <w:rsid w:val="00807838"/>
    <w:rsid w:val="008118EA"/>
    <w:rsid w:val="008201AB"/>
    <w:rsid w:val="0082375B"/>
    <w:rsid w:val="00825878"/>
    <w:rsid w:val="008369BD"/>
    <w:rsid w:val="00861414"/>
    <w:rsid w:val="00861FCC"/>
    <w:rsid w:val="008A08EB"/>
    <w:rsid w:val="008A2AD6"/>
    <w:rsid w:val="008A55B7"/>
    <w:rsid w:val="008C17B5"/>
    <w:rsid w:val="008D0070"/>
    <w:rsid w:val="008E0517"/>
    <w:rsid w:val="008E10F6"/>
    <w:rsid w:val="008E1E7C"/>
    <w:rsid w:val="008E7470"/>
    <w:rsid w:val="008F3742"/>
    <w:rsid w:val="009053D5"/>
    <w:rsid w:val="00917C60"/>
    <w:rsid w:val="00921B4E"/>
    <w:rsid w:val="0093655D"/>
    <w:rsid w:val="00936EC3"/>
    <w:rsid w:val="009454E7"/>
    <w:rsid w:val="009460A0"/>
    <w:rsid w:val="009474D5"/>
    <w:rsid w:val="009541BF"/>
    <w:rsid w:val="009619EC"/>
    <w:rsid w:val="00967067"/>
    <w:rsid w:val="00990C5D"/>
    <w:rsid w:val="0099645F"/>
    <w:rsid w:val="00996533"/>
    <w:rsid w:val="00996946"/>
    <w:rsid w:val="009A1F09"/>
    <w:rsid w:val="009A3C5D"/>
    <w:rsid w:val="009A53C0"/>
    <w:rsid w:val="009B79AE"/>
    <w:rsid w:val="009C09DF"/>
    <w:rsid w:val="009C1DC7"/>
    <w:rsid w:val="009D0C5A"/>
    <w:rsid w:val="009D44A7"/>
    <w:rsid w:val="00A12608"/>
    <w:rsid w:val="00A13373"/>
    <w:rsid w:val="00A13868"/>
    <w:rsid w:val="00A140E0"/>
    <w:rsid w:val="00A1412B"/>
    <w:rsid w:val="00A33333"/>
    <w:rsid w:val="00A3679A"/>
    <w:rsid w:val="00A37BCF"/>
    <w:rsid w:val="00A54AE0"/>
    <w:rsid w:val="00A57327"/>
    <w:rsid w:val="00A65697"/>
    <w:rsid w:val="00A82D13"/>
    <w:rsid w:val="00A84D09"/>
    <w:rsid w:val="00A928E1"/>
    <w:rsid w:val="00A96992"/>
    <w:rsid w:val="00AB51A0"/>
    <w:rsid w:val="00AB7219"/>
    <w:rsid w:val="00AE42ED"/>
    <w:rsid w:val="00B11122"/>
    <w:rsid w:val="00B12418"/>
    <w:rsid w:val="00B26314"/>
    <w:rsid w:val="00B647C3"/>
    <w:rsid w:val="00B71FA4"/>
    <w:rsid w:val="00B85B34"/>
    <w:rsid w:val="00B8638E"/>
    <w:rsid w:val="00BA0587"/>
    <w:rsid w:val="00BB46D6"/>
    <w:rsid w:val="00BC3937"/>
    <w:rsid w:val="00BD43FD"/>
    <w:rsid w:val="00BD619F"/>
    <w:rsid w:val="00BE143F"/>
    <w:rsid w:val="00BE22BC"/>
    <w:rsid w:val="00BE2BD3"/>
    <w:rsid w:val="00BE6726"/>
    <w:rsid w:val="00C01D68"/>
    <w:rsid w:val="00C36F37"/>
    <w:rsid w:val="00C46322"/>
    <w:rsid w:val="00C57327"/>
    <w:rsid w:val="00C918B2"/>
    <w:rsid w:val="00C91C24"/>
    <w:rsid w:val="00C93886"/>
    <w:rsid w:val="00CA687C"/>
    <w:rsid w:val="00CA7B96"/>
    <w:rsid w:val="00CB50BF"/>
    <w:rsid w:val="00CC5487"/>
    <w:rsid w:val="00CC5E98"/>
    <w:rsid w:val="00CF5359"/>
    <w:rsid w:val="00D0084D"/>
    <w:rsid w:val="00D1032D"/>
    <w:rsid w:val="00D10931"/>
    <w:rsid w:val="00D154E1"/>
    <w:rsid w:val="00D173E6"/>
    <w:rsid w:val="00D23BA4"/>
    <w:rsid w:val="00D36715"/>
    <w:rsid w:val="00D44ADE"/>
    <w:rsid w:val="00D458AE"/>
    <w:rsid w:val="00D510D1"/>
    <w:rsid w:val="00D763E7"/>
    <w:rsid w:val="00D80B46"/>
    <w:rsid w:val="00D9333A"/>
    <w:rsid w:val="00DB168F"/>
    <w:rsid w:val="00DC2415"/>
    <w:rsid w:val="00DF7778"/>
    <w:rsid w:val="00E11CD2"/>
    <w:rsid w:val="00E15CF6"/>
    <w:rsid w:val="00E31DE3"/>
    <w:rsid w:val="00E34F84"/>
    <w:rsid w:val="00E35ECD"/>
    <w:rsid w:val="00E431C2"/>
    <w:rsid w:val="00E47CDD"/>
    <w:rsid w:val="00E600C7"/>
    <w:rsid w:val="00E70AE1"/>
    <w:rsid w:val="00E812F3"/>
    <w:rsid w:val="00E86133"/>
    <w:rsid w:val="00E874AF"/>
    <w:rsid w:val="00E939CC"/>
    <w:rsid w:val="00E958DB"/>
    <w:rsid w:val="00E97713"/>
    <w:rsid w:val="00EA39C3"/>
    <w:rsid w:val="00EA4B2F"/>
    <w:rsid w:val="00EC3F29"/>
    <w:rsid w:val="00EC768D"/>
    <w:rsid w:val="00ED0670"/>
    <w:rsid w:val="00ED1F9A"/>
    <w:rsid w:val="00ED37CA"/>
    <w:rsid w:val="00ED39FE"/>
    <w:rsid w:val="00ED3C4E"/>
    <w:rsid w:val="00EF0F8C"/>
    <w:rsid w:val="00EF1EDB"/>
    <w:rsid w:val="00EF1FC2"/>
    <w:rsid w:val="00EF2F1A"/>
    <w:rsid w:val="00EF6B73"/>
    <w:rsid w:val="00F0022F"/>
    <w:rsid w:val="00F022F2"/>
    <w:rsid w:val="00F05699"/>
    <w:rsid w:val="00F12FA5"/>
    <w:rsid w:val="00F1414E"/>
    <w:rsid w:val="00F14F1F"/>
    <w:rsid w:val="00F1786D"/>
    <w:rsid w:val="00F224E1"/>
    <w:rsid w:val="00F379D0"/>
    <w:rsid w:val="00F54EC0"/>
    <w:rsid w:val="00F57333"/>
    <w:rsid w:val="00F725DF"/>
    <w:rsid w:val="00F801C3"/>
    <w:rsid w:val="00F80912"/>
    <w:rsid w:val="00F92963"/>
    <w:rsid w:val="00FA22D3"/>
    <w:rsid w:val="00FB3F62"/>
    <w:rsid w:val="00FC16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2D87"/>
  <w15:docId w15:val="{F298B4CA-6766-485B-85D2-ECD4F0B4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24E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len"/>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dpisnik">
    <w:name w:val="podpisnik"/>
    <w:basedOn w:val="Navaden"/>
    <w:rsid w:val="007914C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3A64D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A64DD"/>
    <w:rPr>
      <w:rFonts w:ascii="Segoe UI" w:hAnsi="Segoe UI" w:cs="Segoe UI"/>
      <w:sz w:val="18"/>
      <w:szCs w:val="18"/>
    </w:rPr>
  </w:style>
  <w:style w:type="character" w:styleId="Hiperpovezava">
    <w:name w:val="Hyperlink"/>
    <w:basedOn w:val="Privzetapisavaodstavka"/>
    <w:uiPriority w:val="99"/>
    <w:semiHidden/>
    <w:unhideWhenUsed/>
    <w:rsid w:val="00AB51A0"/>
    <w:rPr>
      <w:color w:val="0000FF"/>
      <w:u w:val="single"/>
    </w:rPr>
  </w:style>
  <w:style w:type="character" w:styleId="Pripombasklic">
    <w:name w:val="annotation reference"/>
    <w:basedOn w:val="Privzetapisavaodstavka"/>
    <w:uiPriority w:val="99"/>
    <w:semiHidden/>
    <w:unhideWhenUsed/>
    <w:rsid w:val="00917C60"/>
    <w:rPr>
      <w:sz w:val="16"/>
      <w:szCs w:val="16"/>
    </w:rPr>
  </w:style>
  <w:style w:type="paragraph" w:styleId="Pripombabesedilo">
    <w:name w:val="annotation text"/>
    <w:basedOn w:val="Navaden"/>
    <w:link w:val="PripombabesediloZnak"/>
    <w:uiPriority w:val="99"/>
    <w:unhideWhenUsed/>
    <w:rsid w:val="00917C60"/>
    <w:pPr>
      <w:spacing w:line="240" w:lineRule="auto"/>
    </w:pPr>
    <w:rPr>
      <w:sz w:val="20"/>
      <w:szCs w:val="20"/>
    </w:rPr>
  </w:style>
  <w:style w:type="character" w:customStyle="1" w:styleId="PripombabesediloZnak">
    <w:name w:val="Pripomba – besedilo Znak"/>
    <w:basedOn w:val="Privzetapisavaodstavka"/>
    <w:link w:val="Pripombabesedilo"/>
    <w:uiPriority w:val="99"/>
    <w:rsid w:val="00917C60"/>
    <w:rPr>
      <w:sz w:val="20"/>
      <w:szCs w:val="20"/>
    </w:rPr>
  </w:style>
  <w:style w:type="paragraph" w:styleId="Zadevapripombe">
    <w:name w:val="annotation subject"/>
    <w:basedOn w:val="Pripombabesedilo"/>
    <w:next w:val="Pripombabesedilo"/>
    <w:link w:val="ZadevapripombeZnak"/>
    <w:uiPriority w:val="99"/>
    <w:semiHidden/>
    <w:unhideWhenUsed/>
    <w:rsid w:val="00917C60"/>
    <w:rPr>
      <w:b/>
      <w:bCs/>
    </w:rPr>
  </w:style>
  <w:style w:type="character" w:customStyle="1" w:styleId="ZadevapripombeZnak">
    <w:name w:val="Zadeva pripombe Znak"/>
    <w:basedOn w:val="PripombabesediloZnak"/>
    <w:link w:val="Zadevapripombe"/>
    <w:uiPriority w:val="99"/>
    <w:semiHidden/>
    <w:rsid w:val="00917C60"/>
    <w:rPr>
      <w:b/>
      <w:bCs/>
      <w:sz w:val="20"/>
      <w:szCs w:val="20"/>
    </w:rPr>
  </w:style>
  <w:style w:type="paragraph" w:styleId="Brezrazmikov">
    <w:name w:val="No Spacing"/>
    <w:link w:val="BrezrazmikovZnak"/>
    <w:uiPriority w:val="1"/>
    <w:qFormat/>
    <w:rsid w:val="00CB50BF"/>
    <w:pPr>
      <w:spacing w:after="0" w:line="240" w:lineRule="auto"/>
      <w:jc w:val="both"/>
    </w:pPr>
    <w:rPr>
      <w:rFonts w:ascii="Calibri" w:eastAsia="Times New Roman" w:hAnsi="Calibri" w:cs="Times New Roman"/>
      <w:szCs w:val="20"/>
      <w:lang w:eastAsia="sl-SI"/>
    </w:rPr>
  </w:style>
  <w:style w:type="character" w:customStyle="1" w:styleId="BrezrazmikovZnak">
    <w:name w:val="Brez razmikov Znak"/>
    <w:link w:val="Brezrazmikov"/>
    <w:uiPriority w:val="1"/>
    <w:rsid w:val="00CB50BF"/>
    <w:rPr>
      <w:rFonts w:ascii="Calibri" w:eastAsia="Times New Roman" w:hAnsi="Calibri" w:cs="Times New Roman"/>
      <w:szCs w:val="20"/>
      <w:lang w:eastAsia="sl-SI"/>
    </w:rPr>
  </w:style>
  <w:style w:type="paragraph" w:styleId="Odstavekseznama">
    <w:name w:val="List Paragraph"/>
    <w:basedOn w:val="Navaden"/>
    <w:uiPriority w:val="34"/>
    <w:qFormat/>
    <w:rsid w:val="008369BD"/>
    <w:pPr>
      <w:ind w:left="720"/>
      <w:contextualSpacing/>
    </w:pPr>
  </w:style>
  <w:style w:type="paragraph" w:styleId="Glava">
    <w:name w:val="header"/>
    <w:basedOn w:val="Navaden"/>
    <w:link w:val="GlavaZnak"/>
    <w:uiPriority w:val="99"/>
    <w:unhideWhenUsed/>
    <w:rsid w:val="009D0C5A"/>
    <w:pPr>
      <w:tabs>
        <w:tab w:val="center" w:pos="4536"/>
        <w:tab w:val="right" w:pos="9072"/>
      </w:tabs>
      <w:spacing w:after="0" w:line="240" w:lineRule="auto"/>
    </w:pPr>
  </w:style>
  <w:style w:type="character" w:customStyle="1" w:styleId="GlavaZnak">
    <w:name w:val="Glava Znak"/>
    <w:basedOn w:val="Privzetapisavaodstavka"/>
    <w:link w:val="Glava"/>
    <w:uiPriority w:val="99"/>
    <w:rsid w:val="009D0C5A"/>
  </w:style>
  <w:style w:type="paragraph" w:styleId="Noga">
    <w:name w:val="footer"/>
    <w:basedOn w:val="Navaden"/>
    <w:link w:val="NogaZnak"/>
    <w:uiPriority w:val="99"/>
    <w:unhideWhenUsed/>
    <w:rsid w:val="009D0C5A"/>
    <w:pPr>
      <w:tabs>
        <w:tab w:val="center" w:pos="4536"/>
        <w:tab w:val="right" w:pos="9072"/>
      </w:tabs>
      <w:spacing w:after="0" w:line="240" w:lineRule="auto"/>
    </w:pPr>
  </w:style>
  <w:style w:type="character" w:customStyle="1" w:styleId="NogaZnak">
    <w:name w:val="Noga Znak"/>
    <w:basedOn w:val="Privzetapisavaodstavka"/>
    <w:link w:val="Noga"/>
    <w:uiPriority w:val="99"/>
    <w:rsid w:val="009D0C5A"/>
  </w:style>
  <w:style w:type="paragraph" w:customStyle="1" w:styleId="Odstavek0">
    <w:name w:val="Odstavek"/>
    <w:basedOn w:val="Navaden"/>
    <w:link w:val="OdstavekZnak"/>
    <w:qFormat/>
    <w:rsid w:val="006C777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0"/>
    <w:rsid w:val="006C7779"/>
    <w:rPr>
      <w:rFonts w:ascii="Arial" w:eastAsia="Times New Roman" w:hAnsi="Arial" w:cs="Times New Roman"/>
    </w:rPr>
  </w:style>
  <w:style w:type="table" w:styleId="Tabelamrea">
    <w:name w:val="Table Grid"/>
    <w:basedOn w:val="Navadnatabela"/>
    <w:uiPriority w:val="39"/>
    <w:rsid w:val="007269EB"/>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7269EB"/>
    <w:pPr>
      <w:spacing w:after="0" w:line="240" w:lineRule="auto"/>
    </w:pPr>
    <w:rPr>
      <w:rFonts w:ascii="Calibri" w:hAnsi="Calibri" w:cs="Calibri"/>
      <w:sz w:val="20"/>
      <w:szCs w:val="20"/>
    </w:rPr>
  </w:style>
  <w:style w:type="character" w:customStyle="1" w:styleId="Sprotnaopomba-besediloZnak">
    <w:name w:val="Sprotna opomba - besedilo Znak"/>
    <w:basedOn w:val="Privzetapisavaodstavka"/>
    <w:link w:val="Sprotnaopomba-besedilo"/>
    <w:uiPriority w:val="99"/>
    <w:semiHidden/>
    <w:rsid w:val="007269EB"/>
    <w:rPr>
      <w:rFonts w:ascii="Calibri" w:hAnsi="Calibri" w:cs="Calibri"/>
      <w:sz w:val="20"/>
      <w:szCs w:val="20"/>
    </w:rPr>
  </w:style>
  <w:style w:type="character" w:styleId="Sprotnaopomba-sklic">
    <w:name w:val="footnote reference"/>
    <w:basedOn w:val="Privzetapisavaodstavka"/>
    <w:uiPriority w:val="99"/>
    <w:semiHidden/>
    <w:unhideWhenUsed/>
    <w:rsid w:val="00726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7027">
      <w:bodyDiv w:val="1"/>
      <w:marLeft w:val="0"/>
      <w:marRight w:val="0"/>
      <w:marTop w:val="0"/>
      <w:marBottom w:val="0"/>
      <w:divBdr>
        <w:top w:val="none" w:sz="0" w:space="0" w:color="auto"/>
        <w:left w:val="none" w:sz="0" w:space="0" w:color="auto"/>
        <w:bottom w:val="none" w:sz="0" w:space="0" w:color="auto"/>
        <w:right w:val="none" w:sz="0" w:space="0" w:color="auto"/>
      </w:divBdr>
    </w:div>
    <w:div w:id="708647604">
      <w:bodyDiv w:val="1"/>
      <w:marLeft w:val="0"/>
      <w:marRight w:val="0"/>
      <w:marTop w:val="0"/>
      <w:marBottom w:val="0"/>
      <w:divBdr>
        <w:top w:val="none" w:sz="0" w:space="0" w:color="auto"/>
        <w:left w:val="none" w:sz="0" w:space="0" w:color="auto"/>
        <w:bottom w:val="none" w:sz="0" w:space="0" w:color="auto"/>
        <w:right w:val="none" w:sz="0" w:space="0" w:color="auto"/>
      </w:divBdr>
    </w:div>
    <w:div w:id="16116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04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7-01-30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19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usinfo.si/Objava/Besedilo.aspx?Sopi=0152%20%20%20%20%20%20%20%20%20%20%20%20%20%202014122900|RS-95|10665|3951|O|" TargetMode="External"/><Relationship Id="rId4" Type="http://schemas.openxmlformats.org/officeDocument/2006/relationships/settings" Target="settings.xml"/><Relationship Id="rId9" Type="http://schemas.openxmlformats.org/officeDocument/2006/relationships/hyperlink" Target="http://www.uradni-list.si/1/objava.jsp?urlid=201363&amp;stevilka=251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0E5E3C-3684-48A5-AC4E-A1EF53E8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2885</Words>
  <Characters>16446</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Kimovec</dc:creator>
  <cp:lastModifiedBy>Damjan Kos</cp:lastModifiedBy>
  <cp:revision>2</cp:revision>
  <cp:lastPrinted>2020-11-25T13:11:00Z</cp:lastPrinted>
  <dcterms:created xsi:type="dcterms:W3CDTF">2021-04-19T10:48:00Z</dcterms:created>
  <dcterms:modified xsi:type="dcterms:W3CDTF">2021-04-19T10:48:00Z</dcterms:modified>
</cp:coreProperties>
</file>